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583"/>
        <w:gridCol w:w="10"/>
      </w:tblGrid>
      <w:tr w:rsidR="00A544D3" w:rsidTr="00115B2C">
        <w:tc>
          <w:tcPr>
            <w:tcW w:w="9499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A544D3" w:rsidTr="00115B2C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EB4FB1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115B2C" w:rsidTr="00115B2C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5B2C" w:rsidRDefault="00115B2C" w:rsidP="00115B2C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5B2C" w:rsidRDefault="00115B2C" w:rsidP="00115B2C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115B2C" w:rsidTr="00115B2C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5B2C" w:rsidRDefault="00115B2C" w:rsidP="00115B2C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5B2C" w:rsidRPr="004E5EDE" w:rsidRDefault="00115B2C" w:rsidP="00E2766D">
                  <w:pPr>
                    <w:rPr>
                      <w:sz w:val="24"/>
                      <w:szCs w:val="24"/>
                    </w:rPr>
                  </w:pPr>
                  <w:r w:rsidRPr="004E5EDE">
                    <w:rPr>
                      <w:sz w:val="24"/>
                      <w:szCs w:val="24"/>
                    </w:rPr>
                    <w:t>direktoriaus 202</w:t>
                  </w:r>
                  <w:r>
                    <w:rPr>
                      <w:sz w:val="24"/>
                      <w:szCs w:val="24"/>
                    </w:rPr>
                    <w:t>1</w:t>
                  </w:r>
                  <w:r w:rsidRPr="004E5EDE">
                    <w:rPr>
                      <w:sz w:val="24"/>
                      <w:szCs w:val="24"/>
                    </w:rPr>
                    <w:t xml:space="preserve"> m. </w:t>
                  </w:r>
                  <w:r>
                    <w:rPr>
                      <w:sz w:val="24"/>
                      <w:szCs w:val="24"/>
                    </w:rPr>
                    <w:t xml:space="preserve">kovo  </w:t>
                  </w:r>
                  <w:r w:rsidR="00E2766D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4E5EDE">
                    <w:rPr>
                      <w:sz w:val="24"/>
                      <w:szCs w:val="24"/>
                    </w:rPr>
                    <w:t>d.</w:t>
                  </w:r>
                </w:p>
              </w:tc>
            </w:tr>
            <w:tr w:rsidR="00115B2C" w:rsidTr="00115B2C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5B2C" w:rsidRDefault="00115B2C" w:rsidP="00115B2C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15B2C" w:rsidRPr="004E5EDE" w:rsidRDefault="00115B2C" w:rsidP="00277F54">
                  <w:pPr>
                    <w:rPr>
                      <w:sz w:val="24"/>
                      <w:szCs w:val="24"/>
                    </w:rPr>
                  </w:pPr>
                  <w:r w:rsidRPr="004E5EDE"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bookmarkStart w:id="0" w:name="_GoBack"/>
                  <w:bookmarkEnd w:id="0"/>
                  <w:r w:rsidR="00277F54">
                    <w:rPr>
                      <w:color w:val="000000"/>
                      <w:sz w:val="24"/>
                    </w:rPr>
                    <w:t>–</w:t>
                  </w:r>
                  <w:r w:rsidR="00E2766D">
                    <w:rPr>
                      <w:color w:val="000000"/>
                      <w:sz w:val="24"/>
                      <w:szCs w:val="24"/>
                    </w:rPr>
                    <w:t>483</w:t>
                  </w:r>
                </w:p>
              </w:tc>
            </w:tr>
            <w:tr w:rsidR="00A544D3" w:rsidTr="00115B2C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EB4FB1"/>
              </w:tc>
            </w:tr>
            <w:tr w:rsidR="00A544D3" w:rsidTr="00115B2C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A544D3" w:rsidTr="00115B2C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APSKAITOS SKYRIAUS</w:t>
                  </w:r>
                  <w:r w:rsidR="00115B2C">
                    <w:rPr>
                      <w:b/>
                      <w:color w:val="000000"/>
                      <w:sz w:val="24"/>
                    </w:rPr>
                    <w:t xml:space="preserve"> PATARĖJO</w:t>
                  </w:r>
                </w:p>
              </w:tc>
            </w:tr>
            <w:tr w:rsidR="00A544D3" w:rsidTr="00115B2C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EB4FB1" w:rsidRDefault="00EB4FB1"/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</w:tr>
      <w:tr w:rsidR="00EB4FB1" w:rsidTr="00115B2C">
        <w:trPr>
          <w:trHeight w:val="349"/>
        </w:trPr>
        <w:tc>
          <w:tcPr>
            <w:tcW w:w="20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945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</w:tr>
      <w:tr w:rsidR="00A544D3" w:rsidTr="00115B2C">
        <w:tc>
          <w:tcPr>
            <w:tcW w:w="20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949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B4FB1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EB4FB1" w:rsidRDefault="000225F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EB4FB1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>
                  <w:r>
                    <w:rPr>
                      <w:color w:val="000000"/>
                      <w:sz w:val="24"/>
                    </w:rPr>
                    <w:t>1. Pareigybės lygmuo – VIII pareigybės lygmuo.</w:t>
                  </w:r>
                </w:p>
              </w:tc>
            </w:tr>
            <w:tr w:rsidR="00EB4FB1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>
                  <w:r>
                    <w:rPr>
                      <w:color w:val="000000"/>
                      <w:sz w:val="24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EB4FB1" w:rsidRDefault="00EB4FB1"/>
        </w:tc>
      </w:tr>
      <w:tr w:rsidR="00EB4FB1" w:rsidTr="00115B2C">
        <w:trPr>
          <w:trHeight w:val="120"/>
        </w:trPr>
        <w:tc>
          <w:tcPr>
            <w:tcW w:w="20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945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</w:tr>
      <w:tr w:rsidR="00A544D3" w:rsidTr="00115B2C">
        <w:tc>
          <w:tcPr>
            <w:tcW w:w="20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949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B4FB1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EB4FB1" w:rsidRDefault="000225F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B4FB1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B4FB1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B4FB1" w:rsidRDefault="000225F6">
                        <w:r>
                          <w:rPr>
                            <w:color w:val="000000"/>
                            <w:sz w:val="24"/>
                          </w:rPr>
                          <w:t>3. Finansų valdymas.</w:t>
                        </w:r>
                      </w:p>
                    </w:tc>
                  </w:tr>
                </w:tbl>
                <w:p w:rsidR="00EB4FB1" w:rsidRDefault="00EB4FB1"/>
              </w:tc>
            </w:tr>
          </w:tbl>
          <w:p w:rsidR="00EB4FB1" w:rsidRDefault="00EB4FB1"/>
        </w:tc>
      </w:tr>
      <w:tr w:rsidR="00EB4FB1" w:rsidTr="00115B2C">
        <w:trPr>
          <w:trHeight w:val="126"/>
        </w:trPr>
        <w:tc>
          <w:tcPr>
            <w:tcW w:w="20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945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</w:tr>
      <w:tr w:rsidR="00A544D3" w:rsidTr="00115B2C">
        <w:tc>
          <w:tcPr>
            <w:tcW w:w="20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949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EB4FB1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EB4FB1" w:rsidRDefault="000225F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EB4FB1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478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78"/>
                  </w:tblGrid>
                  <w:tr w:rsidR="00EB4FB1" w:rsidTr="0040086B">
                    <w:trPr>
                      <w:trHeight w:val="260"/>
                    </w:trPr>
                    <w:tc>
                      <w:tcPr>
                        <w:tcW w:w="947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B4FB1" w:rsidRDefault="000225F6" w:rsidP="00D21D74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Organizuoti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vesti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buhalterinę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apskaitą, įgyvendinti savivaldybės administracijos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politiką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 w:rsidR="00D21D74">
                          <w:rPr>
                            <w:color w:val="000000"/>
                            <w:sz w:val="24"/>
                          </w:rPr>
                          <w:t>buhalterinės</w:t>
                        </w:r>
                        <w:proofErr w:type="spellEnd"/>
                        <w:r w:rsidR="00D21D74">
                          <w:rPr>
                            <w:color w:val="000000"/>
                            <w:sz w:val="24"/>
                          </w:rPr>
                          <w:t xml:space="preserve"> apskaitos </w:t>
                        </w:r>
                        <w:proofErr w:type="spellStart"/>
                        <w:r w:rsidR="00D21D74">
                          <w:rPr>
                            <w:color w:val="000000"/>
                            <w:sz w:val="24"/>
                          </w:rPr>
                          <w:t>srityje</w:t>
                        </w:r>
                        <w:proofErr w:type="spellEnd"/>
                        <w:r w:rsidR="00D21D74"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EB4FB1" w:rsidRDefault="00EB4FB1"/>
              </w:tc>
            </w:tr>
          </w:tbl>
          <w:p w:rsidR="00EB4FB1" w:rsidRDefault="00EB4FB1"/>
        </w:tc>
      </w:tr>
      <w:tr w:rsidR="00EB4FB1" w:rsidTr="00115B2C">
        <w:trPr>
          <w:trHeight w:val="100"/>
        </w:trPr>
        <w:tc>
          <w:tcPr>
            <w:tcW w:w="20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945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</w:tr>
      <w:tr w:rsidR="00A544D3" w:rsidTr="00115B2C">
        <w:tc>
          <w:tcPr>
            <w:tcW w:w="20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947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B4FB1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EB4FB1" w:rsidRDefault="000225F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EB4FB1" w:rsidRDefault="00EB4FB1"/>
        </w:tc>
      </w:tr>
      <w:tr w:rsidR="00EB4FB1" w:rsidTr="00115B2C">
        <w:trPr>
          <w:trHeight w:val="39"/>
        </w:trPr>
        <w:tc>
          <w:tcPr>
            <w:tcW w:w="20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945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</w:tr>
      <w:tr w:rsidR="00A544D3" w:rsidTr="00115B2C">
        <w:tc>
          <w:tcPr>
            <w:tcW w:w="20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949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EB4FB1" w:rsidTr="0040086B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 w:rsidP="0040086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5. Apdoroja su finansų valdymu susijusią informaciją arba prireikus koordinuoja su finansų valdymu susijusios informacijos apdorojimą.</w:t>
                  </w:r>
                </w:p>
              </w:tc>
            </w:tr>
            <w:tr w:rsidR="00EB4FB1" w:rsidTr="0040086B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 w:rsidP="0040086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6. Atlieka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išankstinę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einamąją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paskesnę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finansų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kontrolę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arba prireikus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išankstinės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einamosios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paskesnės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finansų kontrolės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B4FB1" w:rsidTr="0040086B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 w:rsidP="0040086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7. Konsultuoja priskirtos srities klausimais.</w:t>
                  </w:r>
                </w:p>
              </w:tc>
            </w:tr>
            <w:tr w:rsidR="00EB4FB1" w:rsidTr="0040086B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 w:rsidP="0040086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atskaitomybės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B4FB1" w:rsidTr="0040086B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 w:rsidP="0040086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Koordinuoja kitų su finansų valdymu susijusių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rengimą.</w:t>
                  </w:r>
                </w:p>
              </w:tc>
            </w:tr>
            <w:tr w:rsidR="00EB4FB1" w:rsidTr="0040086B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 w:rsidP="0040086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mokėjimo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procedūrų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vykdymą.</w:t>
                  </w:r>
                </w:p>
              </w:tc>
            </w:tr>
            <w:tr w:rsidR="00EB4FB1" w:rsidTr="0040086B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 w:rsidP="0040086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Koordinuoja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operacijų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ūkinių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įvykių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apskaitos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registruose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B4FB1" w:rsidTr="0040086B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 w:rsidP="0040086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12. Rengia ir teikia informaciją su finansų valdymu susijusiais sudėtingais klausimais arba prireikus koordinuoja informacijos su finansų valdymu susijusiais sudėtingais klausimais rengimą ir teikimą.</w:t>
                  </w:r>
                </w:p>
              </w:tc>
            </w:tr>
            <w:tr w:rsidR="00EB4FB1" w:rsidTr="0040086B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 w:rsidP="0040086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13. Rengia ir teikia pasiūlymus su finansų valdymu susijusiais klausimais.</w:t>
                  </w:r>
                </w:p>
              </w:tc>
            </w:tr>
            <w:tr w:rsidR="00EB4FB1" w:rsidTr="0040086B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 w:rsidP="0040086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14. Rengia su finansų valdymu susijusius dokumentus arba prireikus koordinuoja su finansų valdymu susijusių dokumentų rengimą.</w:t>
                  </w:r>
                </w:p>
              </w:tc>
            </w:tr>
            <w:tr w:rsidR="00EB4FB1" w:rsidTr="0040086B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 w:rsidP="0040086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15. Rengia teisės aktų projektus ir kitus susijusius dokumentus dėl finansų valdymo arba prireikus koordinuoja teisės aktų projektų ir kitų susijusių dokumentų dėl finansų valdymo rengimą.</w:t>
                  </w:r>
                </w:p>
              </w:tc>
            </w:tr>
          </w:tbl>
          <w:p w:rsidR="00EB4FB1" w:rsidRDefault="00EB4FB1"/>
        </w:tc>
      </w:tr>
      <w:tr w:rsidR="00EB4FB1" w:rsidTr="00115B2C">
        <w:trPr>
          <w:trHeight w:val="20"/>
        </w:trPr>
        <w:tc>
          <w:tcPr>
            <w:tcW w:w="20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945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</w:tr>
      <w:tr w:rsidR="00A544D3" w:rsidTr="00115B2C">
        <w:tc>
          <w:tcPr>
            <w:tcW w:w="20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9492" w:type="dxa"/>
            <w:gridSpan w:val="4"/>
          </w:tcPr>
          <w:tbl>
            <w:tblPr>
              <w:tblW w:w="961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  <w:gridCol w:w="141"/>
            </w:tblGrid>
            <w:tr w:rsidR="00EB4FB1" w:rsidTr="0040086B">
              <w:trPr>
                <w:trHeight w:val="260"/>
              </w:trPr>
              <w:tc>
                <w:tcPr>
                  <w:tcW w:w="961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 w:rsidP="0040086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Vykdo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apskaitą pagal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išlaidų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klasifikacijos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straipsnius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sąskaitas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bei valstybės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priskirtas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funkcijas.</w:t>
                  </w:r>
                </w:p>
              </w:tc>
            </w:tr>
            <w:tr w:rsidR="00EB4FB1" w:rsidTr="0040086B">
              <w:trPr>
                <w:trHeight w:val="260"/>
              </w:trPr>
              <w:tc>
                <w:tcPr>
                  <w:tcW w:w="961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 w:rsidP="0040086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Ruošia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duomenis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finansinėms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ataskaitoms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sudaryti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rengia Administracijos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tarpines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bei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metines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finansines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. Pildo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metinių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duomenis viešojo sektoriaus apskaitos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konsolidavimo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informacinėje sistemoje (VSAKIS),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derina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juos su kitais viešojo sektoriaus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subjektais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B4FB1" w:rsidTr="0040086B">
              <w:trPr>
                <w:gridAfter w:val="1"/>
                <w:wAfter w:w="141" w:type="dxa"/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 w:rsidP="0040086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18. Koordinuoja ir rengia Apskaitos skyriaus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apskaitomų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vykdymo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lėšų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panaudojimo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ataskaitas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B4FB1" w:rsidTr="0040086B">
              <w:trPr>
                <w:gridAfter w:val="1"/>
                <w:wAfter w:w="141" w:type="dxa"/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 w:rsidP="0040086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Pavaduoja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Apskaitos skyriaus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vedėją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jam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nesant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B4FB1" w:rsidTr="0040086B">
              <w:trPr>
                <w:gridAfter w:val="1"/>
                <w:wAfter w:w="141" w:type="dxa"/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 w:rsidP="0040086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20.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analizuoja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vertina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planinius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ataskaitinius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rodiklius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reikalingus Savivaldybės administracijos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biudžeto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pajamų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išlaidų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apskaitai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EB4FB1" w:rsidTr="0040086B">
              <w:trPr>
                <w:gridAfter w:val="1"/>
                <w:wAfter w:w="141" w:type="dxa"/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 w:rsidP="0040086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21. Pagal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reikalavimus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vadovaujantis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patvirtinta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bylų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nomenklatūra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archyvuoja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savo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tvarkomus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buhalterinius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dokumentus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perduoda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į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archyvą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</w:tbl>
          <w:p w:rsidR="00EB4FB1" w:rsidRDefault="00EB4FB1"/>
        </w:tc>
      </w:tr>
      <w:tr w:rsidR="00EB4FB1" w:rsidTr="00115B2C">
        <w:trPr>
          <w:trHeight w:val="20"/>
        </w:trPr>
        <w:tc>
          <w:tcPr>
            <w:tcW w:w="20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945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</w:tr>
      <w:tr w:rsidR="00A544D3" w:rsidTr="00115B2C">
        <w:tc>
          <w:tcPr>
            <w:tcW w:w="20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949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B4FB1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>
                  <w:r>
                    <w:rPr>
                      <w:color w:val="000000"/>
                      <w:sz w:val="24"/>
                    </w:rPr>
                    <w:t>22. Vykdo kitus nenuolatinio pobūdžio su struktūrinio padalinio veikla susijusius pavedimus.</w:t>
                  </w:r>
                </w:p>
              </w:tc>
            </w:tr>
          </w:tbl>
          <w:p w:rsidR="00EB4FB1" w:rsidRDefault="00EB4FB1"/>
        </w:tc>
      </w:tr>
      <w:tr w:rsidR="00EB4FB1" w:rsidTr="00115B2C">
        <w:trPr>
          <w:trHeight w:val="139"/>
        </w:trPr>
        <w:tc>
          <w:tcPr>
            <w:tcW w:w="20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945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</w:tr>
      <w:tr w:rsidR="00A544D3" w:rsidTr="00115B2C">
        <w:tc>
          <w:tcPr>
            <w:tcW w:w="20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94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52"/>
            </w:tblGrid>
            <w:tr w:rsidR="00EB4FB1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EB4FB1" w:rsidRDefault="000225F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EB4FB1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>
                  <w:r>
                    <w:rPr>
                      <w:color w:val="000000"/>
                      <w:sz w:val="24"/>
                    </w:rPr>
                    <w:t>23. Išsilavinimo ir darbo patirties reikalavimai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EB4FB1">
              <w:trPr>
                <w:trHeight w:val="272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52"/>
                  </w:tblGrid>
                  <w:tr w:rsidR="00EB4FB1">
                    <w:trPr>
                      <w:trHeight w:val="170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52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2"/>
                        </w:tblGrid>
                        <w:tr w:rsidR="00EB4FB1" w:rsidTr="0040086B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B4FB1" w:rsidRDefault="000225F6" w:rsidP="0040086B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23.1.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EB4FB1" w:rsidTr="0040086B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B4FB1" w:rsidRDefault="000225F6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23.2.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apskaita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EB4FB1" w:rsidTr="0040086B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B4FB1" w:rsidRDefault="000225F6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23.3.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finansai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EB4FB1" w:rsidTr="0040086B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B4FB1" w:rsidRDefault="000225F6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23.4. studijų kryptis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ekonomika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(arba);</w:t>
                              </w:r>
                            </w:p>
                          </w:tc>
                        </w:tr>
                        <w:tr w:rsidR="00EB4FB1" w:rsidTr="0040086B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B4FB1" w:rsidRDefault="000225F6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EB4FB1" w:rsidRDefault="00EB4FB1"/>
                    </w:tc>
                  </w:tr>
                  <w:tr w:rsidR="00EB4FB1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2"/>
                        </w:tblGrid>
                        <w:tr w:rsidR="00EB4FB1" w:rsidTr="0040086B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B4FB1" w:rsidRDefault="000225F6" w:rsidP="0040086B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23.5.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EB4FB1" w:rsidTr="0040086B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B4FB1" w:rsidRDefault="000225F6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23.6. darbo patirtis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buhalterinės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apskaitos srities patirtis;</w:t>
                              </w:r>
                            </w:p>
                          </w:tc>
                        </w:tr>
                        <w:tr w:rsidR="00EB4FB1" w:rsidTr="0040086B">
                          <w:trPr>
                            <w:trHeight w:val="260"/>
                          </w:trPr>
                          <w:tc>
                            <w:tcPr>
                              <w:tcW w:w="945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EB4FB1" w:rsidRDefault="000225F6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23.7. 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patirties trukmė – 2 metai. </w:t>
                              </w:r>
                            </w:p>
                          </w:tc>
                        </w:tr>
                      </w:tbl>
                      <w:p w:rsidR="00EB4FB1" w:rsidRDefault="00EB4FB1"/>
                    </w:tc>
                  </w:tr>
                </w:tbl>
                <w:p w:rsidR="00EB4FB1" w:rsidRDefault="00EB4FB1"/>
              </w:tc>
            </w:tr>
          </w:tbl>
          <w:p w:rsidR="00EB4FB1" w:rsidRDefault="00EB4FB1"/>
        </w:tc>
      </w:tr>
      <w:tr w:rsidR="00EB4FB1" w:rsidTr="00115B2C">
        <w:trPr>
          <w:trHeight w:val="62"/>
        </w:trPr>
        <w:tc>
          <w:tcPr>
            <w:tcW w:w="20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945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</w:tr>
      <w:tr w:rsidR="00A544D3" w:rsidTr="00115B2C">
        <w:tc>
          <w:tcPr>
            <w:tcW w:w="20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94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EB4FB1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EB4FB1" w:rsidRDefault="000225F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EB4FB1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>
                  <w:r>
                    <w:rPr>
                      <w:color w:val="000000"/>
                      <w:sz w:val="24"/>
                    </w:rPr>
                    <w:t>24. Bendrosios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EB4FB1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B4FB1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B4FB1" w:rsidRDefault="000225F6">
                        <w:r>
                          <w:rPr>
                            <w:color w:val="000000"/>
                            <w:sz w:val="24"/>
                          </w:rPr>
                          <w:t>24.1. komunikacija – 4;</w:t>
                        </w:r>
                      </w:p>
                    </w:tc>
                  </w:tr>
                  <w:tr w:rsidR="00EB4FB1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B4FB1" w:rsidRDefault="000225F6">
                        <w:r>
                          <w:rPr>
                            <w:color w:val="000000"/>
                            <w:sz w:val="24"/>
                          </w:rPr>
                          <w:t>24.2. analizė ir pagrindimas – 5;</w:t>
                        </w:r>
                      </w:p>
                    </w:tc>
                  </w:tr>
                  <w:tr w:rsidR="00EB4FB1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B4FB1" w:rsidRDefault="000225F6">
                        <w:r>
                          <w:rPr>
                            <w:color w:val="000000"/>
                            <w:sz w:val="24"/>
                          </w:rPr>
                          <w:t>24.3. patikimumas ir atsakingumas – 4;</w:t>
                        </w:r>
                      </w:p>
                    </w:tc>
                  </w:tr>
                  <w:tr w:rsidR="00EB4FB1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B4FB1" w:rsidRDefault="000225F6">
                        <w:r>
                          <w:rPr>
                            <w:color w:val="000000"/>
                            <w:sz w:val="24"/>
                          </w:rPr>
                          <w:t>24.4. organizuotumas – 4;</w:t>
                        </w:r>
                      </w:p>
                    </w:tc>
                  </w:tr>
                  <w:tr w:rsidR="00EB4FB1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B4FB1" w:rsidRDefault="000225F6">
                        <w:r>
                          <w:rPr>
                            <w:color w:val="000000"/>
                            <w:sz w:val="24"/>
                          </w:rPr>
                          <w:t xml:space="preserve">24.5.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vertės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visuomenei kūrimas – 4.</w:t>
                        </w:r>
                      </w:p>
                    </w:tc>
                  </w:tr>
                </w:tbl>
                <w:p w:rsidR="00EB4FB1" w:rsidRDefault="00EB4FB1"/>
              </w:tc>
            </w:tr>
            <w:tr w:rsidR="00EB4FB1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>
                  <w:r>
                    <w:rPr>
                      <w:color w:val="000000"/>
                      <w:sz w:val="24"/>
                    </w:rPr>
                    <w:t>25. Specifinės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EB4FB1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B4FB1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B4FB1" w:rsidRDefault="000225F6">
                        <w:r>
                          <w:rPr>
                            <w:color w:val="000000"/>
                            <w:sz w:val="24"/>
                          </w:rPr>
                          <w:t>25.1. informacijos valdymas – 4;</w:t>
                        </w:r>
                      </w:p>
                    </w:tc>
                  </w:tr>
                  <w:tr w:rsidR="00EB4FB1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B4FB1" w:rsidRDefault="000225F6">
                        <w:r>
                          <w:rPr>
                            <w:color w:val="000000"/>
                            <w:sz w:val="24"/>
                          </w:rPr>
                          <w:t xml:space="preserve">25.2.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įžvalgumas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:rsidR="00EB4FB1" w:rsidRDefault="00EB4FB1"/>
              </w:tc>
            </w:tr>
            <w:tr w:rsidR="00EB4FB1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>
                  <w:r>
                    <w:rPr>
                      <w:color w:val="000000"/>
                      <w:sz w:val="24"/>
                    </w:rPr>
                    <w:t>26. Profesinės kompetencijos ir jų pakankami lygiai</w:t>
                  </w:r>
                  <w:proofErr w:type="gramStart"/>
                  <w:r>
                    <w:rPr>
                      <w:color w:val="000000"/>
                      <w:sz w:val="24"/>
                    </w:rPr>
                    <w:t>:</w:t>
                  </w:r>
                  <w:r>
                    <w:rPr>
                      <w:color w:val="FFFFFF"/>
                      <w:sz w:val="24"/>
                    </w:rPr>
                    <w:t>0</w:t>
                  </w:r>
                  <w:proofErr w:type="gramEnd"/>
                </w:p>
              </w:tc>
            </w:tr>
            <w:tr w:rsidR="00EB4FB1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EB4FB1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EB4FB1" w:rsidRDefault="000225F6">
                        <w:r>
                          <w:rPr>
                            <w:color w:val="000000"/>
                            <w:sz w:val="24"/>
                          </w:rPr>
                          <w:t xml:space="preserve">26.1.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</w:rPr>
                          <w:t>finansų</w:t>
                        </w:r>
                        <w:proofErr w:type="gramEnd"/>
                        <w:r>
                          <w:rPr>
                            <w:color w:val="000000"/>
                            <w:sz w:val="24"/>
                          </w:rPr>
                          <w:t xml:space="preserve"> valdymas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apskaita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4.</w:t>
                        </w:r>
                      </w:p>
                    </w:tc>
                  </w:tr>
                </w:tbl>
                <w:p w:rsidR="00EB4FB1" w:rsidRDefault="00EB4FB1"/>
              </w:tc>
            </w:tr>
          </w:tbl>
          <w:p w:rsidR="00EB4FB1" w:rsidRDefault="00EB4FB1"/>
        </w:tc>
      </w:tr>
      <w:tr w:rsidR="00A544D3" w:rsidTr="00115B2C">
        <w:tc>
          <w:tcPr>
            <w:tcW w:w="20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946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EB4FB1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EB4FB1"/>
              </w:tc>
            </w:tr>
            <w:tr w:rsidR="00EB4FB1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EB4FB1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EB4FB1"/>
              </w:tc>
            </w:tr>
            <w:tr w:rsidR="00EB4FB1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EB4FB1"/>
              </w:tc>
            </w:tr>
            <w:tr w:rsidR="00EB4FB1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EB4FB1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EB4FB1"/>
              </w:tc>
            </w:tr>
            <w:tr w:rsidR="00EB4FB1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EB4FB1"/>
              </w:tc>
            </w:tr>
            <w:tr w:rsidR="00EB4FB1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EB4FB1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EB4FB1"/>
              </w:tc>
            </w:tr>
            <w:tr w:rsidR="00EB4FB1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0225F6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EB4FB1"/>
              </w:tc>
            </w:tr>
            <w:tr w:rsidR="00EB4FB1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EB4FB1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EB4FB1" w:rsidRDefault="00EB4FB1"/>
              </w:tc>
            </w:tr>
          </w:tbl>
          <w:p w:rsidR="00EB4FB1" w:rsidRDefault="00EB4FB1"/>
        </w:tc>
      </w:tr>
      <w:tr w:rsidR="00EB4FB1" w:rsidTr="00115B2C">
        <w:trPr>
          <w:trHeight w:val="41"/>
        </w:trPr>
        <w:tc>
          <w:tcPr>
            <w:tcW w:w="20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9453" w:type="dxa"/>
          </w:tcPr>
          <w:p w:rsidR="00EB4FB1" w:rsidRDefault="00EB4FB1">
            <w:pPr>
              <w:pStyle w:val="EmptyLayoutCell"/>
            </w:pPr>
          </w:p>
        </w:tc>
        <w:tc>
          <w:tcPr>
            <w:tcW w:w="13" w:type="dxa"/>
          </w:tcPr>
          <w:p w:rsidR="00EB4FB1" w:rsidRDefault="00EB4FB1">
            <w:pPr>
              <w:pStyle w:val="EmptyLayoutCell"/>
            </w:pPr>
          </w:p>
        </w:tc>
      </w:tr>
    </w:tbl>
    <w:p w:rsidR="000225F6" w:rsidRDefault="000225F6"/>
    <w:sectPr w:rsidR="000225F6" w:rsidSect="00115B2C">
      <w:pgSz w:w="11905" w:h="16837"/>
      <w:pgMar w:top="709" w:right="566" w:bottom="567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3"/>
    <w:rsid w:val="000225F6"/>
    <w:rsid w:val="00115B2C"/>
    <w:rsid w:val="00277F54"/>
    <w:rsid w:val="0040086B"/>
    <w:rsid w:val="00A544D3"/>
    <w:rsid w:val="00D21D74"/>
    <w:rsid w:val="00E2766D"/>
    <w:rsid w:val="00E779FC"/>
    <w:rsid w:val="00EB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8EB5C-9B6E-4101-9CEC-94CF4888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2623</Words>
  <Characters>1496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Vytautas N</cp:lastModifiedBy>
  <cp:revision>8</cp:revision>
  <dcterms:created xsi:type="dcterms:W3CDTF">2021-03-07T13:27:00Z</dcterms:created>
  <dcterms:modified xsi:type="dcterms:W3CDTF">2021-03-11T18:41:00Z</dcterms:modified>
</cp:coreProperties>
</file>