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3B264E" w:rsidTr="003B264E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570"/>
            </w:tblGrid>
            <w:tr w:rsidR="003B264E" w:rsidTr="003B264E">
              <w:trPr>
                <w:gridAfter w:val="1"/>
                <w:wAfter w:w="570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3B264E" w:rsidTr="003B264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264E" w:rsidRDefault="003B264E" w:rsidP="003B264E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264E" w:rsidRDefault="003B264E" w:rsidP="003B264E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3B264E" w:rsidTr="003B264E">
              <w:trPr>
                <w:gridAfter w:val="1"/>
                <w:wAfter w:w="570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264E" w:rsidRDefault="003B264E" w:rsidP="003B264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264E" w:rsidRPr="00435FCB" w:rsidRDefault="003B264E" w:rsidP="00A95DD7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35FCB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Pr="00435FCB">
                    <w:rPr>
                      <w:sz w:val="24"/>
                      <w:szCs w:val="24"/>
                    </w:rPr>
                    <w:t xml:space="preserve"> </w:t>
                  </w:r>
                  <w:r w:rsidR="00A95DD7">
                    <w:rPr>
                      <w:sz w:val="24"/>
                      <w:szCs w:val="24"/>
                    </w:rPr>
                    <w:t>19</w:t>
                  </w:r>
                  <w:r w:rsidRPr="00435FCB"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3B264E" w:rsidTr="003B264E">
              <w:trPr>
                <w:gridAfter w:val="1"/>
                <w:wAfter w:w="570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264E" w:rsidRDefault="003B264E" w:rsidP="003B264E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264E" w:rsidRPr="00435FCB" w:rsidRDefault="003B264E" w:rsidP="003B264E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r w:rsidR="00A95DD7">
                    <w:rPr>
                      <w:color w:val="000000"/>
                      <w:sz w:val="24"/>
                      <w:szCs w:val="24"/>
                    </w:rPr>
                    <w:t>227</w:t>
                  </w:r>
                  <w:bookmarkStart w:id="0" w:name="_GoBack"/>
                  <w:bookmarkEnd w:id="0"/>
                </w:p>
              </w:tc>
            </w:tr>
            <w:tr w:rsidR="003B264E" w:rsidTr="003B264E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3B264E" w:rsidTr="003B264E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3B264E" w:rsidTr="003B264E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SPORTO SKYRIAUS</w:t>
                  </w:r>
                  <w:r w:rsidR="003B264E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3B264E" w:rsidTr="003B264E">
              <w:trPr>
                <w:gridAfter w:val="1"/>
                <w:wAfter w:w="570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8A57F4" w:rsidRDefault="008A57F4"/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8A57F4">
        <w:trPr>
          <w:trHeight w:val="349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A57F4" w:rsidTr="003B264E">
              <w:trPr>
                <w:trHeight w:val="72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 xml:space="preserve">1. Pareigybės lygmuo – skyriaus (biuro, tarnybos)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lygmuo).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8A57F4" w:rsidRDefault="008A57F4"/>
        </w:tc>
      </w:tr>
      <w:tr w:rsidR="008A57F4">
        <w:trPr>
          <w:trHeight w:val="120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A57F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A57F4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5. Veiklos planavimas.</w:t>
                        </w:r>
                      </w:p>
                    </w:tc>
                  </w:tr>
                </w:tbl>
                <w:p w:rsidR="008A57F4" w:rsidRDefault="008A57F4"/>
              </w:tc>
            </w:tr>
          </w:tbl>
          <w:p w:rsidR="008A57F4" w:rsidRDefault="008A57F4"/>
        </w:tc>
      </w:tr>
      <w:tr w:rsidR="008A57F4">
        <w:trPr>
          <w:trHeight w:val="126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A57F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8A57F4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619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19"/>
                  </w:tblGrid>
                  <w:tr w:rsidR="008A57F4" w:rsidTr="003B264E">
                    <w:trPr>
                      <w:trHeight w:val="260"/>
                    </w:trPr>
                    <w:tc>
                      <w:tcPr>
                        <w:tcW w:w="961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6. Sporto administravimas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plėtojimas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8A57F4" w:rsidTr="003B264E">
                    <w:trPr>
                      <w:trHeight w:val="260"/>
                    </w:trPr>
                    <w:tc>
                      <w:tcPr>
                        <w:tcW w:w="961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 w:rsidP="003B264E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7.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biudžetinių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viešųjų įstaigų, kurių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steigėja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dalininkė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yra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Savivaldybė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veiklos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koordinavimas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8A57F4" w:rsidTr="003B264E">
                    <w:trPr>
                      <w:trHeight w:val="260"/>
                    </w:trPr>
                    <w:tc>
                      <w:tcPr>
                        <w:tcW w:w="9619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8. Skyriaus darbo planavimas ir organizavimas.</w:t>
                        </w:r>
                      </w:p>
                    </w:tc>
                  </w:tr>
                </w:tbl>
                <w:p w:rsidR="008A57F4" w:rsidRDefault="008A57F4"/>
              </w:tc>
            </w:tr>
          </w:tbl>
          <w:p w:rsidR="008A57F4" w:rsidRDefault="008A57F4"/>
        </w:tc>
      </w:tr>
      <w:tr w:rsidR="008A57F4">
        <w:trPr>
          <w:trHeight w:val="100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A57F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8A57F4" w:rsidRDefault="008A57F4"/>
        </w:tc>
      </w:tr>
      <w:tr w:rsidR="008A57F4">
        <w:trPr>
          <w:trHeight w:val="39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10. Konsultuoja su struktūrinio padalinio veikla susijusiais klausimais.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11. Priima su struktūrinio padalinio veikla susijusius sprendimus.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12. Rengia ir teikia pasiūlymus su struktūrinio padalinio veikla susijusiais klausimais.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Vadovauja struktūrinio padalinio veiklos vykdymui aktualios informacijos apdorojimui arba prireikus apdoroja struktūrinio padalinio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aktualią informaciją.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8A57F4" w:rsidTr="003B264E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8A57F4" w:rsidRDefault="008A57F4"/>
        </w:tc>
      </w:tr>
      <w:tr w:rsidR="008A57F4">
        <w:trPr>
          <w:trHeight w:val="20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 w:rsidP="003B264E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8A57F4" w:rsidTr="002B1DE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Dalyvauja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tarptautinius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atstovauja Sporto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A57F4" w:rsidTr="002B1DE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 ir įgyvendinimą.</w:t>
                  </w:r>
                </w:p>
              </w:tc>
            </w:tr>
            <w:tr w:rsidR="008A57F4" w:rsidTr="002B1DE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būsimųjų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vykdo Šiaulių miesto savivaldybės administracijos Finansų kontrolės taisyklėse nustatytas finansų kontrolės funkcijas.</w:t>
                  </w:r>
                </w:p>
              </w:tc>
            </w:tr>
            <w:tr w:rsidR="008A57F4" w:rsidTr="002B1DE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DF788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Vykdo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viešųjų įstaigų, kurių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steigėja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dalininkė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yra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tvarką,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="00DF788E">
                    <w:rPr>
                      <w:color w:val="000000"/>
                      <w:sz w:val="24"/>
                    </w:rPr>
                    <w:t>Administracijos</w:t>
                  </w:r>
                  <w:r>
                    <w:rPr>
                      <w:color w:val="000000"/>
                      <w:sz w:val="24"/>
                    </w:rPr>
                    <w:t xml:space="preserve"> direktoriui dėl įstaigų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tobulinimo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prieinamumo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gerinimo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8A57F4" w:rsidTr="002B1DE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Bendradarbiauja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su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šalies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valstybinėmis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užsienio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sporto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institucijomis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sporto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šakų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federacijomis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ir kitomis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skėtinėmis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sporto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organizacijomis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įgyvendinant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savivaldybės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sporto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plėtros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programą</w:t>
                  </w:r>
                  <w:proofErr w:type="spellEnd"/>
                  <w:r w:rsidR="002B1DE1" w:rsidRPr="002B1DE1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</w:tr>
            <w:tr w:rsidR="008A57F4" w:rsidTr="002B1DE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 w:rsidP="003B264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23. Nagrinėja prašymus ir kitus dokumentus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vykdymo, rengia sprendimus ir atsakymus arba prireikus koordinuoja prašymų ir kitų dokumentų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 nagrinėjimą arba prireikus koordinuoja sprendimų ir atsakymų rengimą.</w:t>
                  </w:r>
                </w:p>
              </w:tc>
            </w:tr>
          </w:tbl>
          <w:p w:rsidR="008A57F4" w:rsidRDefault="008A57F4" w:rsidP="003B264E">
            <w:pPr>
              <w:jc w:val="both"/>
            </w:pPr>
          </w:p>
        </w:tc>
      </w:tr>
      <w:tr w:rsidR="008A57F4">
        <w:trPr>
          <w:trHeight w:val="20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A57F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:rsidR="008A57F4" w:rsidRDefault="008A57F4"/>
        </w:tc>
      </w:tr>
      <w:tr w:rsidR="008A57F4">
        <w:trPr>
          <w:trHeight w:val="139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8A57F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8A57F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25.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A57F4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8A57F4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8A57F4" w:rsidTr="003B264E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A57F4" w:rsidRDefault="00753B52" w:rsidP="003B264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A57F4" w:rsidTr="003B264E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A57F4" w:rsidRDefault="00753B5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pasiekimų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8A57F4" w:rsidTr="003B264E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A57F4" w:rsidRDefault="00753B52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8A57F4" w:rsidRDefault="008A57F4"/>
                    </w:tc>
                  </w:tr>
                  <w:tr w:rsidR="008A57F4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8A57F4" w:rsidTr="003B264E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A57F4" w:rsidRDefault="00753B52" w:rsidP="003B264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8A57F4" w:rsidTr="003B264E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A57F4" w:rsidRDefault="00753B5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25.4. darbo patirtis – patirtis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8A57F4" w:rsidTr="003B264E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8A57F4" w:rsidRDefault="00753B5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5 metai. </w:t>
                              </w:r>
                            </w:p>
                          </w:tc>
                        </w:tr>
                      </w:tbl>
                      <w:p w:rsidR="008A57F4" w:rsidRDefault="008A57F4"/>
                    </w:tc>
                  </w:tr>
                </w:tbl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 xml:space="preserve">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A57F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26.1.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anglų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</w:tbl>
                <w:p w:rsidR="008A57F4" w:rsidRDefault="008A57F4"/>
              </w:tc>
            </w:tr>
            <w:tr w:rsidR="008A57F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26.2.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kalbos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mokėjimo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B2.</w:t>
                        </w:r>
                      </w:p>
                    </w:tc>
                  </w:tr>
                </w:tbl>
                <w:p w:rsidR="008A57F4" w:rsidRDefault="008A57F4"/>
              </w:tc>
            </w:tr>
          </w:tbl>
          <w:p w:rsidR="008A57F4" w:rsidRDefault="008A57F4"/>
        </w:tc>
      </w:tr>
      <w:tr w:rsidR="008A57F4">
        <w:trPr>
          <w:trHeight w:val="62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8A57F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8A57F4" w:rsidRDefault="00753B5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8A57F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27.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A57F4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27.1. komunikacija – 5;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27.2. analizė ir pagrindimas – 4;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27.3. patikimumas ir atsakingumas – 4;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27.4. organizuotumas – 4;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27.5.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4.</w:t>
                        </w:r>
                      </w:p>
                    </w:tc>
                  </w:tr>
                </w:tbl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28. Vadybinės ir lyderystės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A57F4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28.1. lyderystė – 4;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28.2. veiklos valdymas – 4;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28.3.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požiūris – 4.</w:t>
                        </w:r>
                      </w:p>
                    </w:tc>
                  </w:tr>
                </w:tbl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lastRenderedPageBreak/>
                    <w:t>29.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A57F4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>29.1. informacijos valdymas – 4;</w:t>
                        </w:r>
                      </w:p>
                    </w:tc>
                  </w:tr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29.2.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įžvalgumas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5.</w:t>
                        </w:r>
                      </w:p>
                    </w:tc>
                  </w:tr>
                </w:tbl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30.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8A57F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8A57F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A57F4" w:rsidRDefault="00753B52">
                        <w:r>
                          <w:rPr>
                            <w:color w:val="000000"/>
                            <w:sz w:val="24"/>
                          </w:rPr>
                          <w:t xml:space="preserve">30.1.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veiklos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planavimas – 4.</w:t>
                        </w:r>
                      </w:p>
                    </w:tc>
                  </w:tr>
                </w:tbl>
                <w:p w:rsidR="008A57F4" w:rsidRDefault="008A57F4"/>
              </w:tc>
            </w:tr>
          </w:tbl>
          <w:p w:rsidR="008A57F4" w:rsidRDefault="008A57F4"/>
        </w:tc>
      </w:tr>
      <w:tr w:rsidR="008A57F4">
        <w:trPr>
          <w:trHeight w:val="517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  <w:tr w:rsidR="003B264E" w:rsidTr="003B264E"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8A57F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753B5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  <w:tr w:rsidR="008A57F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8A57F4" w:rsidRDefault="008A57F4"/>
              </w:tc>
            </w:tr>
          </w:tbl>
          <w:p w:rsidR="008A57F4" w:rsidRDefault="008A57F4"/>
        </w:tc>
      </w:tr>
      <w:tr w:rsidR="008A57F4">
        <w:trPr>
          <w:trHeight w:val="41"/>
        </w:trPr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9055" w:type="dxa"/>
          </w:tcPr>
          <w:p w:rsidR="008A57F4" w:rsidRDefault="008A57F4">
            <w:pPr>
              <w:pStyle w:val="EmptyLayoutCell"/>
            </w:pPr>
          </w:p>
        </w:tc>
        <w:tc>
          <w:tcPr>
            <w:tcW w:w="13" w:type="dxa"/>
          </w:tcPr>
          <w:p w:rsidR="008A57F4" w:rsidRDefault="008A57F4">
            <w:pPr>
              <w:pStyle w:val="EmptyLayoutCell"/>
            </w:pPr>
          </w:p>
        </w:tc>
      </w:tr>
    </w:tbl>
    <w:p w:rsidR="00753B52" w:rsidRDefault="00753B52"/>
    <w:sectPr w:rsidR="00753B52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E"/>
    <w:rsid w:val="002B1DE1"/>
    <w:rsid w:val="003B264E"/>
    <w:rsid w:val="00753B52"/>
    <w:rsid w:val="008A57F4"/>
    <w:rsid w:val="00A95DD7"/>
    <w:rsid w:val="00D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0028-A559-421E-9878-44156D92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2946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5</cp:revision>
  <dcterms:created xsi:type="dcterms:W3CDTF">2021-02-14T19:18:00Z</dcterms:created>
  <dcterms:modified xsi:type="dcterms:W3CDTF">2021-03-03T18:58:00Z</dcterms:modified>
</cp:coreProperties>
</file>