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  <w:gridCol w:w="6"/>
        <w:gridCol w:w="6"/>
        <w:gridCol w:w="41"/>
        <w:gridCol w:w="29"/>
        <w:gridCol w:w="29"/>
        <w:gridCol w:w="12"/>
        <w:gridCol w:w="9455"/>
        <w:gridCol w:w="18"/>
        <w:gridCol w:w="110"/>
        <w:gridCol w:w="341"/>
        <w:gridCol w:w="6"/>
      </w:tblGrid>
      <w:tr w:rsidR="00C34389" w:rsidTr="00FA4A92">
        <w:trPr>
          <w:gridBefore w:val="4"/>
          <w:wBefore w:w="24" w:type="dxa"/>
        </w:trPr>
        <w:tc>
          <w:tcPr>
            <w:tcW w:w="10035" w:type="dxa"/>
            <w:gridSpan w:val="8"/>
          </w:tcPr>
          <w:tbl>
            <w:tblPr>
              <w:tblW w:w="100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  <w:gridCol w:w="429"/>
            </w:tblGrid>
            <w:tr w:rsidR="00C34389" w:rsidTr="00DB68F7">
              <w:trPr>
                <w:gridAfter w:val="1"/>
                <w:wAfter w:w="429" w:type="dxa"/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DB68F7" w:rsidTr="00DB68F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8F7" w:rsidRDefault="00DB68F7" w:rsidP="00DB68F7"/>
              </w:tc>
              <w:tc>
                <w:tcPr>
                  <w:tcW w:w="497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8F7" w:rsidRDefault="00DB68F7" w:rsidP="00DB68F7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DB68F7" w:rsidTr="00DB68F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8F7" w:rsidRDefault="00DB68F7" w:rsidP="00DB68F7"/>
              </w:tc>
              <w:tc>
                <w:tcPr>
                  <w:tcW w:w="497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8F7" w:rsidRPr="00435FCB" w:rsidRDefault="00DB68F7" w:rsidP="00550B56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 w:rsidR="00444290"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550B56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DB68F7" w:rsidTr="00DB68F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8F7" w:rsidRDefault="00DB68F7" w:rsidP="00DB68F7"/>
              </w:tc>
              <w:tc>
                <w:tcPr>
                  <w:tcW w:w="497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B68F7" w:rsidRPr="00435FCB" w:rsidRDefault="00DB68F7" w:rsidP="00DB68F7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550B56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C34389" w:rsidTr="00DB68F7">
              <w:trPr>
                <w:gridAfter w:val="1"/>
                <w:wAfter w:w="429" w:type="dxa"/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C34389" w:rsidTr="00DB68F7">
              <w:trPr>
                <w:gridAfter w:val="1"/>
                <w:wAfter w:w="429" w:type="dxa"/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34389" w:rsidTr="00DB68F7">
              <w:trPr>
                <w:gridAfter w:val="1"/>
                <w:wAfter w:w="429" w:type="dxa"/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TEISĖS SKYRI</w:t>
                  </w:r>
                  <w:r w:rsidR="00DB68F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  <w:r w:rsidR="00DB68F7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C34389" w:rsidTr="00DB68F7">
              <w:trPr>
                <w:gridAfter w:val="1"/>
                <w:wAfter w:w="429" w:type="dxa"/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30593" w:rsidRDefault="00330593"/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</w:tr>
      <w:tr w:rsidR="00330593" w:rsidTr="00FA4A92">
        <w:trPr>
          <w:gridBefore w:val="4"/>
          <w:wBefore w:w="24" w:type="dxa"/>
          <w:trHeight w:val="349"/>
        </w:trPr>
        <w:tc>
          <w:tcPr>
            <w:tcW w:w="35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23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23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954" w:type="dxa"/>
            <w:gridSpan w:val="5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Before w:val="7"/>
          <w:gridAfter w:val="2"/>
          <w:wBefore w:w="105" w:type="dxa"/>
          <w:wAfter w:w="343" w:type="dxa"/>
        </w:trPr>
        <w:tc>
          <w:tcPr>
            <w:tcW w:w="6" w:type="dxa"/>
          </w:tcPr>
          <w:p w:rsidR="00330593" w:rsidRDefault="00330593" w:rsidP="00FA4A92">
            <w:pPr>
              <w:pStyle w:val="EmptyLayoutCell"/>
              <w:jc w:val="both"/>
            </w:pPr>
          </w:p>
        </w:tc>
        <w:tc>
          <w:tcPr>
            <w:tcW w:w="961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330593" w:rsidTr="00536CC3">
              <w:trPr>
                <w:trHeight w:val="72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FA4A9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30593" w:rsidRDefault="004A5439" w:rsidP="00FA4A92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30593" w:rsidTr="00536CC3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FA4A9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330593" w:rsidTr="00536CC3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FA4A92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330593" w:rsidRDefault="00330593" w:rsidP="00FA4A92">
            <w:pPr>
              <w:jc w:val="both"/>
            </w:pPr>
          </w:p>
        </w:tc>
      </w:tr>
      <w:tr w:rsidR="00330593" w:rsidTr="00FA4A92">
        <w:trPr>
          <w:gridAfter w:val="3"/>
          <w:wAfter w:w="448" w:type="dxa"/>
          <w:trHeight w:val="120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61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3059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6A0689">
                  <w:r>
                    <w:rPr>
                      <w:color w:val="000000"/>
                      <w:sz w:val="24"/>
                    </w:rPr>
                    <w:t xml:space="preserve">3. </w:t>
                  </w:r>
                  <w:r w:rsidR="006A0689">
                    <w:rPr>
                      <w:color w:val="000000"/>
                      <w:sz w:val="24"/>
                    </w:rPr>
                    <w:t>Teisė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3059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 w:rsidP="006A0689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r w:rsidR="006A0689">
                          <w:rPr>
                            <w:color w:val="000000"/>
                            <w:sz w:val="24"/>
                          </w:rPr>
                          <w:t>V</w:t>
                        </w:r>
                        <w:r>
                          <w:rPr>
                            <w:color w:val="000000"/>
                            <w:sz w:val="24"/>
                          </w:rPr>
                          <w:t>eiklos planavimas.</w:t>
                        </w:r>
                      </w:p>
                    </w:tc>
                  </w:tr>
                </w:tbl>
                <w:p w:rsidR="00330593" w:rsidRDefault="00330593"/>
              </w:tc>
            </w:tr>
          </w:tbl>
          <w:p w:rsidR="00330593" w:rsidRDefault="00330593"/>
        </w:tc>
      </w:tr>
      <w:tr w:rsidR="00330593" w:rsidTr="00FA4A92">
        <w:trPr>
          <w:gridAfter w:val="3"/>
          <w:wAfter w:w="448" w:type="dxa"/>
          <w:trHeight w:val="126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61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30593" w:rsidTr="00C10669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30593" w:rsidTr="00C10669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6A0689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 w:rsidR="006A0689">
                    <w:rPr>
                      <w:color w:val="000000"/>
                      <w:sz w:val="24"/>
                    </w:rPr>
                    <w:t>Teisė</w:t>
                  </w:r>
                  <w:proofErr w:type="spellEnd"/>
                  <w:r w:rsidR="006A0689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30593" w:rsidTr="00C10669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 w:rsidP="006A0689">
                        <w:r>
                          <w:rPr>
                            <w:color w:val="000000"/>
                            <w:sz w:val="24"/>
                          </w:rPr>
                          <w:t>6. Skyriaus darbo organizavimas ir planavimas.</w:t>
                        </w:r>
                      </w:p>
                    </w:tc>
                  </w:tr>
                </w:tbl>
                <w:p w:rsidR="00330593" w:rsidRDefault="00330593"/>
              </w:tc>
            </w:tr>
          </w:tbl>
          <w:p w:rsidR="00330593" w:rsidRDefault="00330593"/>
        </w:tc>
      </w:tr>
      <w:tr w:rsidR="00330593" w:rsidTr="00FA4A92">
        <w:trPr>
          <w:gridAfter w:val="3"/>
          <w:wAfter w:w="448" w:type="dxa"/>
          <w:trHeight w:val="100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605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3059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30593" w:rsidRDefault="00330593"/>
        </w:tc>
      </w:tr>
      <w:tr w:rsidR="00330593" w:rsidTr="00FA4A92">
        <w:trPr>
          <w:gridAfter w:val="3"/>
          <w:wAfter w:w="448" w:type="dxa"/>
          <w:trHeight w:val="39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61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0"/>
            </w:tblGrid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su struktūrinio padalinio veikla susijusiais klausimais.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Priima su struktūrinio padalinio veikla susijusius sprendimus.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Rengia ir teikia pasiūlymus su struktūrinio padalinio veikla susijusiais klausimais.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330593">
              <w:trPr>
                <w:gridAfter w:val="1"/>
                <w:wAfter w:w="400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330593" w:rsidRDefault="00330593" w:rsidP="00DB68F7">
            <w:pPr>
              <w:jc w:val="both"/>
            </w:pPr>
          </w:p>
        </w:tc>
      </w:tr>
      <w:tr w:rsidR="00330593" w:rsidTr="00FA4A92">
        <w:trPr>
          <w:gridAfter w:val="3"/>
          <w:wAfter w:w="448" w:type="dxa"/>
          <w:trHeight w:val="20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 w:rsidP="00DB68F7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330593" w:rsidRDefault="00330593" w:rsidP="00DB68F7">
            <w:pPr>
              <w:pStyle w:val="EmptyLayoutCell"/>
              <w:jc w:val="both"/>
            </w:pPr>
          </w:p>
        </w:tc>
        <w:tc>
          <w:tcPr>
            <w:tcW w:w="9587" w:type="dxa"/>
            <w:gridSpan w:val="6"/>
          </w:tcPr>
          <w:p w:rsidR="00330593" w:rsidRDefault="00330593" w:rsidP="00DB68F7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330593" w:rsidRDefault="00330593" w:rsidP="00DB68F7">
            <w:pPr>
              <w:pStyle w:val="EmptyLayoutCell"/>
              <w:jc w:val="both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61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330593" w:rsidTr="00DB68F7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Dirba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elektronine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EPP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poreikiui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per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sistemą.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Rengia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prokuratūrai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ikiteisminio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ikiteisminio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pradėjimo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viešojo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intereso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gynimo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teismams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ikiteisminio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institucijoms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pagal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įpareigojimus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pirminės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19. Savo kompetencijos ribose, organizuoja asmens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4"/>
                    </w:rPr>
                    <w:t>reikalavimų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 ir</w:t>
                  </w:r>
                  <w:proofErr w:type="gram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korupcijos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prevencijos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laikymąsi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įgyvendinimą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30593" w:rsidTr="00DB68F7">
              <w:trPr>
                <w:trHeight w:val="260"/>
              </w:trPr>
              <w:tc>
                <w:tcPr>
                  <w:tcW w:w="94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Atstovauja Savivaldybei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administracijai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įgaliojimu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instancijų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teismuose,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ikiteisminio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tyrimo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kitose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teisėsaugos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institucijose ar kitose įstaigose,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ruošia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savo ar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mero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ar Administracijos direktoriaus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vardu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kitus dokumentus,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mediacijos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procesuose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teismuose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ikiteisminėse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institucijose.</w:t>
                  </w:r>
                </w:p>
              </w:tc>
            </w:tr>
          </w:tbl>
          <w:p w:rsidR="00330593" w:rsidRDefault="00330593" w:rsidP="00DB68F7">
            <w:pPr>
              <w:jc w:val="both"/>
            </w:pPr>
          </w:p>
        </w:tc>
      </w:tr>
      <w:tr w:rsidR="00330593" w:rsidTr="00FA4A92">
        <w:trPr>
          <w:gridAfter w:val="3"/>
          <w:wAfter w:w="448" w:type="dxa"/>
          <w:trHeight w:val="19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 w:rsidP="00DB68F7">
            <w:pPr>
              <w:pStyle w:val="EmptyLayoutCell"/>
              <w:jc w:val="both"/>
            </w:pPr>
          </w:p>
        </w:tc>
        <w:tc>
          <w:tcPr>
            <w:tcW w:w="6" w:type="dxa"/>
          </w:tcPr>
          <w:p w:rsidR="00330593" w:rsidRDefault="00330593" w:rsidP="00DB68F7">
            <w:pPr>
              <w:pStyle w:val="EmptyLayoutCell"/>
              <w:jc w:val="both"/>
            </w:pPr>
          </w:p>
        </w:tc>
        <w:tc>
          <w:tcPr>
            <w:tcW w:w="9587" w:type="dxa"/>
            <w:gridSpan w:val="6"/>
          </w:tcPr>
          <w:p w:rsidR="00330593" w:rsidRDefault="00330593" w:rsidP="00DB68F7">
            <w:pPr>
              <w:pStyle w:val="EmptyLayoutCell"/>
              <w:jc w:val="both"/>
            </w:pPr>
          </w:p>
        </w:tc>
        <w:tc>
          <w:tcPr>
            <w:tcW w:w="12" w:type="dxa"/>
          </w:tcPr>
          <w:p w:rsidR="00330593" w:rsidRDefault="00330593" w:rsidP="00DB68F7">
            <w:pPr>
              <w:pStyle w:val="EmptyLayoutCell"/>
              <w:jc w:val="both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611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 w:rsidP="00DB68F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21. Vykdo kitus nenuolatinio pobūdžio su struktūrinio padalinio veikla susijusius pavedimus.</w:t>
                  </w:r>
                </w:p>
              </w:tc>
            </w:tr>
          </w:tbl>
          <w:p w:rsidR="00330593" w:rsidRDefault="00330593" w:rsidP="00DB68F7">
            <w:pPr>
              <w:jc w:val="both"/>
            </w:pPr>
          </w:p>
        </w:tc>
      </w:tr>
      <w:tr w:rsidR="00330593" w:rsidTr="00FA4A92">
        <w:trPr>
          <w:gridAfter w:val="3"/>
          <w:wAfter w:w="448" w:type="dxa"/>
          <w:trHeight w:val="139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9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38"/>
            </w:tblGrid>
            <w:tr w:rsidR="0033059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22.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3059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8"/>
                  </w:tblGrid>
                  <w:tr w:rsidR="00330593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38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38"/>
                        </w:tblGrid>
                        <w:tr w:rsidR="00330593" w:rsidTr="00DB68F7">
                          <w:trPr>
                            <w:trHeight w:val="260"/>
                          </w:trPr>
                          <w:tc>
                            <w:tcPr>
                              <w:tcW w:w="943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30593" w:rsidRDefault="004A5439" w:rsidP="00DB68F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30593" w:rsidTr="00DB68F7">
                          <w:trPr>
                            <w:trHeight w:val="260"/>
                          </w:trPr>
                          <w:tc>
                            <w:tcPr>
                              <w:tcW w:w="9438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30593" w:rsidRDefault="004A5439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22.2.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teisė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</w:tbl>
                      <w:p w:rsidR="00330593" w:rsidRDefault="00330593"/>
                    </w:tc>
                  </w:tr>
                </w:tbl>
                <w:p w:rsidR="00330593" w:rsidRDefault="00330593"/>
              </w:tc>
            </w:tr>
          </w:tbl>
          <w:p w:rsidR="00330593" w:rsidRDefault="00330593"/>
        </w:tc>
      </w:tr>
      <w:tr w:rsidR="00330593" w:rsidTr="00FA4A92">
        <w:trPr>
          <w:gridAfter w:val="3"/>
          <w:wAfter w:w="448" w:type="dxa"/>
          <w:trHeight w:val="62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9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3059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30593" w:rsidRDefault="004A543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23.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3059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>23.1. vertės visuomenei kūrimas – 4;</w:t>
                        </w:r>
                      </w:p>
                    </w:tc>
                  </w:tr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>23.2. organizuotumas – 4;</w:t>
                        </w:r>
                      </w:p>
                    </w:tc>
                  </w:tr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>23.3. patikimumas ir atsakingumas – 4;</w:t>
                        </w:r>
                      </w:p>
                    </w:tc>
                  </w:tr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>23.4. analizė ir pagrindimas – 5;</w:t>
                        </w:r>
                      </w:p>
                    </w:tc>
                  </w:tr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 xml:space="preserve">23.5.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24.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30593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>24.1. strateginis požiūris – 4;</w:t>
                        </w:r>
                      </w:p>
                    </w:tc>
                  </w:tr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>24.2. veiklos valdymas – 4;</w:t>
                        </w:r>
                      </w:p>
                    </w:tc>
                  </w:tr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 xml:space="preserve">24.3.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lyderystė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25.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3059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 xml:space="preserve">25.1.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įžvalgumas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26.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3059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3059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30593" w:rsidRDefault="004A5439">
                        <w:r>
                          <w:rPr>
                            <w:color w:val="000000"/>
                            <w:sz w:val="24"/>
                          </w:rPr>
                          <w:t xml:space="preserve">26.1.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teisės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išmanymas – 4.</w:t>
                        </w:r>
                      </w:p>
                    </w:tc>
                  </w:tr>
                </w:tbl>
                <w:p w:rsidR="00330593" w:rsidRDefault="00330593"/>
              </w:tc>
            </w:tr>
          </w:tbl>
          <w:p w:rsidR="00330593" w:rsidRDefault="00330593"/>
        </w:tc>
      </w:tr>
      <w:tr w:rsidR="00330593" w:rsidTr="00FA4A92">
        <w:trPr>
          <w:gridAfter w:val="3"/>
          <w:wAfter w:w="448" w:type="dxa"/>
          <w:trHeight w:val="517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  <w:tr w:rsidR="00C34389" w:rsidTr="00FA4A92">
        <w:trPr>
          <w:gridAfter w:val="3"/>
          <w:wAfter w:w="448" w:type="dxa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99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3059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4A543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  <w:tr w:rsidR="0033059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30593" w:rsidRDefault="00330593"/>
              </w:tc>
            </w:tr>
          </w:tbl>
          <w:p w:rsidR="00330593" w:rsidRDefault="00330593"/>
        </w:tc>
      </w:tr>
      <w:tr w:rsidR="00330593" w:rsidTr="00FA4A92">
        <w:trPr>
          <w:gridAfter w:val="3"/>
          <w:wAfter w:w="448" w:type="dxa"/>
          <w:trHeight w:val="41"/>
        </w:trPr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6" w:type="dxa"/>
          </w:tcPr>
          <w:p w:rsidR="00330593" w:rsidRDefault="00330593">
            <w:pPr>
              <w:pStyle w:val="EmptyLayoutCell"/>
            </w:pPr>
          </w:p>
        </w:tc>
        <w:tc>
          <w:tcPr>
            <w:tcW w:w="9587" w:type="dxa"/>
            <w:gridSpan w:val="6"/>
          </w:tcPr>
          <w:p w:rsidR="00330593" w:rsidRDefault="00330593">
            <w:pPr>
              <w:pStyle w:val="EmptyLayoutCell"/>
            </w:pPr>
          </w:p>
        </w:tc>
        <w:tc>
          <w:tcPr>
            <w:tcW w:w="12" w:type="dxa"/>
          </w:tcPr>
          <w:p w:rsidR="00330593" w:rsidRDefault="00330593">
            <w:pPr>
              <w:pStyle w:val="EmptyLayoutCell"/>
            </w:pPr>
          </w:p>
        </w:tc>
      </w:tr>
    </w:tbl>
    <w:p w:rsidR="004A5439" w:rsidRDefault="004A5439"/>
    <w:sectPr w:rsidR="004A5439" w:rsidSect="00DB68F7">
      <w:pgSz w:w="11905" w:h="16837"/>
      <w:pgMar w:top="567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89"/>
    <w:rsid w:val="00330593"/>
    <w:rsid w:val="00444290"/>
    <w:rsid w:val="004A5439"/>
    <w:rsid w:val="00536CC3"/>
    <w:rsid w:val="00550B56"/>
    <w:rsid w:val="006A0689"/>
    <w:rsid w:val="00C10669"/>
    <w:rsid w:val="00C34389"/>
    <w:rsid w:val="00DB68F7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397A-D7BE-46A3-B2F5-5488F67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2400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8</cp:revision>
  <dcterms:created xsi:type="dcterms:W3CDTF">2021-02-14T15:37:00Z</dcterms:created>
  <dcterms:modified xsi:type="dcterms:W3CDTF">2021-03-03T18:59:00Z</dcterms:modified>
</cp:coreProperties>
</file>