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794047" w:rsidTr="00794047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265"/>
              <w:gridCol w:w="283"/>
            </w:tblGrid>
            <w:tr w:rsidR="00794047" w:rsidTr="00794047">
              <w:trPr>
                <w:gridAfter w:val="1"/>
                <w:wAfter w:w="283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  <w:tc>
                <w:tcPr>
                  <w:tcW w:w="426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794047" w:rsidTr="0079404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4047" w:rsidRDefault="00794047" w:rsidP="00794047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4047" w:rsidRDefault="00794047" w:rsidP="00794047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94047" w:rsidTr="0079404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4047" w:rsidRDefault="00794047" w:rsidP="00794047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4047" w:rsidRPr="004E5EDE" w:rsidRDefault="00794047" w:rsidP="00C46FE5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</w:t>
                  </w:r>
                  <w:r w:rsidR="00C46FE5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794047" w:rsidTr="0079404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4047" w:rsidRDefault="00794047" w:rsidP="00794047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4047" w:rsidRPr="004E5EDE" w:rsidRDefault="00794047" w:rsidP="00C46FE5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bookmarkStart w:id="0" w:name="_GoBack"/>
                  <w:bookmarkEnd w:id="0"/>
                  <w:r w:rsidR="00C46FE5">
                    <w:rPr>
                      <w:color w:val="000000"/>
                      <w:sz w:val="24"/>
                    </w:rPr>
                    <w:t>–</w:t>
                  </w:r>
                  <w:r w:rsidR="00C46FE5">
                    <w:rPr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</w:tr>
            <w:tr w:rsidR="00794047" w:rsidTr="00794047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</w:tr>
            <w:tr w:rsidR="00794047" w:rsidTr="00794047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94047" w:rsidTr="00794047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KULTŪROS SKYRIAUS</w:t>
                  </w:r>
                </w:p>
              </w:tc>
            </w:tr>
            <w:tr w:rsidR="00794047" w:rsidTr="00794047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KALBOS TVARKYTOJ</w:t>
                  </w:r>
                  <w:r w:rsidR="00794047">
                    <w:rPr>
                      <w:b/>
                      <w:color w:val="000000"/>
                      <w:sz w:val="24"/>
                    </w:rPr>
                    <w:t>O</w:t>
                  </w:r>
                  <w:r>
                    <w:rPr>
                      <w:b/>
                      <w:color w:val="000000"/>
                      <w:sz w:val="24"/>
                    </w:rPr>
                    <w:t xml:space="preserve"> (VYRIAUSI</w:t>
                  </w:r>
                  <w:r w:rsidR="00794047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794047">
                    <w:rPr>
                      <w:b/>
                      <w:color w:val="000000"/>
                      <w:sz w:val="24"/>
                    </w:rPr>
                    <w:t>O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</w:p>
              </w:tc>
            </w:tr>
            <w:tr w:rsidR="00794047" w:rsidTr="00794047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2B3F4B" w:rsidRDefault="002B3F4B"/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2B3F4B">
        <w:trPr>
          <w:trHeight w:val="349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3F4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2B3F4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2B3F4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2B3F4B" w:rsidRDefault="002B3F4B"/>
        </w:tc>
      </w:tr>
      <w:tr w:rsidR="002B3F4B">
        <w:trPr>
          <w:trHeight w:val="120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3F4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B3F4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B3F4B" w:rsidRDefault="002B3F4B"/>
              </w:tc>
            </w:tr>
          </w:tbl>
          <w:p w:rsidR="002B3F4B" w:rsidRDefault="002B3F4B"/>
        </w:tc>
      </w:tr>
      <w:tr w:rsidR="002B3F4B">
        <w:trPr>
          <w:trHeight w:val="126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3F4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B3F4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vartojimo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taisyklingumo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B3F4B" w:rsidRDefault="002B3F4B"/>
              </w:tc>
            </w:tr>
          </w:tbl>
          <w:p w:rsidR="002B3F4B" w:rsidRDefault="002B3F4B"/>
        </w:tc>
      </w:tr>
      <w:tr w:rsidR="002B3F4B">
        <w:trPr>
          <w:trHeight w:val="100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3F4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2B3F4B" w:rsidRDefault="002B3F4B"/>
        </w:tc>
      </w:tr>
      <w:tr w:rsidR="002B3F4B">
        <w:trPr>
          <w:trHeight w:val="39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Planuoja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rengimą.</w:t>
                  </w:r>
                </w:p>
              </w:tc>
            </w:tr>
          </w:tbl>
          <w:p w:rsidR="002B3F4B" w:rsidRDefault="002B3F4B"/>
        </w:tc>
      </w:tr>
      <w:tr w:rsidR="002B3F4B">
        <w:trPr>
          <w:trHeight w:val="20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Redaguoja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tarybos sprendimų projektus.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išorinės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požiūriu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Savivaldybės interneto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skelbia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inspekcijos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B3F4B" w:rsidTr="0079404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 w:rsidP="0079404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inspekcija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draugija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tvarkytojais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miesto juridinių asmenų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atstovais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2B3F4B" w:rsidRDefault="002B3F4B"/>
        </w:tc>
      </w:tr>
      <w:tr w:rsidR="002B3F4B">
        <w:trPr>
          <w:trHeight w:val="20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3F4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2B3F4B" w:rsidRDefault="002B3F4B"/>
        </w:tc>
      </w:tr>
      <w:tr w:rsidR="002B3F4B">
        <w:trPr>
          <w:trHeight w:val="139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2B3F4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2B3F4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  <w:sz w:val="24"/>
                    </w:rPr>
                    <w:t>20.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B3F4B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2B3F4B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2B3F4B" w:rsidTr="0079404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B3F4B" w:rsidRDefault="00CA2E00" w:rsidP="0079404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B3F4B" w:rsidTr="0079404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B3F4B" w:rsidRDefault="00CA2E0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filologija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pagal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diplome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nurodant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konkrečią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 (arba);</w:t>
                              </w:r>
                            </w:p>
                          </w:tc>
                        </w:tr>
                        <w:tr w:rsidR="002B3F4B" w:rsidTr="0079404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B3F4B" w:rsidRDefault="00CA2E00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2B3F4B" w:rsidRDefault="002B3F4B"/>
                    </w:tc>
                  </w:tr>
                  <w:tr w:rsidR="002B3F4B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2B3F4B" w:rsidTr="0079404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B3F4B" w:rsidRDefault="00CA2E00" w:rsidP="0079404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B3F4B" w:rsidTr="0079404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B3F4B" w:rsidRDefault="00CA2E0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lietuvių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tvarkybos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2B3F4B" w:rsidTr="0079404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B3F4B" w:rsidRDefault="00CA2E0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2B3F4B" w:rsidRDefault="002B3F4B"/>
                    </w:tc>
                  </w:tr>
                </w:tbl>
                <w:p w:rsidR="002B3F4B" w:rsidRDefault="002B3F4B"/>
              </w:tc>
            </w:tr>
          </w:tbl>
          <w:p w:rsidR="002B3F4B" w:rsidRDefault="002B3F4B"/>
        </w:tc>
      </w:tr>
      <w:tr w:rsidR="002B3F4B">
        <w:trPr>
          <w:trHeight w:val="62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B3F4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2B3F4B" w:rsidRDefault="00CA2E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2B3F4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  <w:sz w:val="24"/>
                    </w:rPr>
                    <w:t>21.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B3F4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>21.1. komunikacija – 4;</w:t>
                        </w:r>
                      </w:p>
                    </w:tc>
                  </w:tr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>21.2. analizė ir pagrindimas – 3;</w:t>
                        </w:r>
                      </w:p>
                    </w:tc>
                  </w:tr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>21.4. organizuotumas – 3;</w:t>
                        </w:r>
                      </w:p>
                    </w:tc>
                  </w:tr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2B3F4B" w:rsidRDefault="002B3F4B"/>
              </w:tc>
            </w:tr>
            <w:tr w:rsidR="002B3F4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  <w:sz w:val="24"/>
                    </w:rPr>
                    <w:t>22.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B3F4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 xml:space="preserve">22.1.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3;</w:t>
                        </w:r>
                      </w:p>
                    </w:tc>
                  </w:tr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>22.2. konfliktų valdymas – 3;</w:t>
                        </w:r>
                      </w:p>
                    </w:tc>
                  </w:tr>
                  <w:tr w:rsidR="002B3F4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B3F4B" w:rsidRDefault="00CA2E00">
                        <w:r>
                          <w:rPr>
                            <w:color w:val="000000"/>
                            <w:sz w:val="24"/>
                          </w:rPr>
                          <w:t xml:space="preserve">22.3.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2B3F4B" w:rsidRDefault="002B3F4B"/>
              </w:tc>
            </w:tr>
          </w:tbl>
          <w:p w:rsidR="002B3F4B" w:rsidRDefault="002B3F4B"/>
        </w:tc>
      </w:tr>
      <w:tr w:rsidR="002B3F4B">
        <w:trPr>
          <w:trHeight w:val="517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  <w:tr w:rsidR="00794047" w:rsidTr="00794047"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2B3F4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</w:tr>
            <w:tr w:rsidR="002B3F4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</w:tr>
            <w:tr w:rsidR="002B3F4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</w:tr>
            <w:tr w:rsidR="002B3F4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</w:tr>
            <w:tr w:rsidR="002B3F4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</w:tr>
            <w:tr w:rsidR="002B3F4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</w:tr>
            <w:tr w:rsidR="002B3F4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CA2E0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</w:tr>
            <w:tr w:rsidR="002B3F4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F4B" w:rsidRDefault="002B3F4B"/>
              </w:tc>
            </w:tr>
          </w:tbl>
          <w:p w:rsidR="002B3F4B" w:rsidRDefault="002B3F4B"/>
        </w:tc>
      </w:tr>
      <w:tr w:rsidR="002B3F4B">
        <w:trPr>
          <w:trHeight w:val="41"/>
        </w:trPr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9055" w:type="dxa"/>
          </w:tcPr>
          <w:p w:rsidR="002B3F4B" w:rsidRDefault="002B3F4B">
            <w:pPr>
              <w:pStyle w:val="EmptyLayoutCell"/>
            </w:pPr>
          </w:p>
        </w:tc>
        <w:tc>
          <w:tcPr>
            <w:tcW w:w="13" w:type="dxa"/>
          </w:tcPr>
          <w:p w:rsidR="002B3F4B" w:rsidRDefault="002B3F4B">
            <w:pPr>
              <w:pStyle w:val="EmptyLayoutCell"/>
            </w:pPr>
          </w:p>
        </w:tc>
      </w:tr>
    </w:tbl>
    <w:p w:rsidR="00CA2E00" w:rsidRDefault="00CA2E00"/>
    <w:sectPr w:rsidR="00CA2E00" w:rsidSect="00794047">
      <w:pgSz w:w="11905" w:h="16837"/>
      <w:pgMar w:top="709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47"/>
    <w:rsid w:val="002B3F4B"/>
    <w:rsid w:val="00794047"/>
    <w:rsid w:val="00C46FE5"/>
    <w:rsid w:val="00C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1B28-7BB7-4E85-85E5-0808E071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2021-03-03T18:34:00Z</dcterms:created>
  <dcterms:modified xsi:type="dcterms:W3CDTF">2021-03-11T18:45:00Z</dcterms:modified>
</cp:coreProperties>
</file>