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8"/>
        <w:gridCol w:w="18"/>
        <w:gridCol w:w="9436"/>
        <w:gridCol w:w="13"/>
        <w:gridCol w:w="7"/>
        <w:gridCol w:w="13"/>
      </w:tblGrid>
      <w:tr w:rsidR="00E96C8A" w:rsidTr="00E96C8A">
        <w:trPr>
          <w:gridAfter w:val="2"/>
          <w:wAfter w:w="20" w:type="dxa"/>
        </w:trPr>
        <w:tc>
          <w:tcPr>
            <w:tcW w:w="9478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E96C8A" w:rsidTr="00E96C8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E96C8A" w:rsidTr="00E96C8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6C8A" w:rsidRDefault="00E96C8A" w:rsidP="00E96C8A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6C8A" w:rsidRDefault="00E96C8A" w:rsidP="00E96C8A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E96C8A" w:rsidTr="00E96C8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6C8A" w:rsidRDefault="00E96C8A" w:rsidP="00E96C8A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6C8A" w:rsidRPr="004E5EDE" w:rsidRDefault="00E96C8A" w:rsidP="008F383F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E5EDE">
                    <w:rPr>
                      <w:sz w:val="24"/>
                      <w:szCs w:val="24"/>
                    </w:rPr>
                    <w:t xml:space="preserve"> m. </w:t>
                  </w:r>
                  <w:r>
                    <w:rPr>
                      <w:sz w:val="24"/>
                      <w:szCs w:val="24"/>
                    </w:rPr>
                    <w:t xml:space="preserve">kovo  </w:t>
                  </w:r>
                  <w:r w:rsidR="008F383F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5EDE">
                    <w:rPr>
                      <w:sz w:val="24"/>
                      <w:szCs w:val="24"/>
                    </w:rPr>
                    <w:t>d.</w:t>
                  </w:r>
                </w:p>
              </w:tc>
            </w:tr>
            <w:tr w:rsidR="00E96C8A" w:rsidTr="00E96C8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6C8A" w:rsidRDefault="00E96C8A" w:rsidP="00E96C8A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96C8A" w:rsidRPr="004E5EDE" w:rsidRDefault="00E96C8A" w:rsidP="008F383F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bookmarkStart w:id="0" w:name="_GoBack"/>
                  <w:bookmarkEnd w:id="0"/>
                  <w:r w:rsidR="008F383F">
                    <w:rPr>
                      <w:color w:val="000000"/>
                      <w:sz w:val="24"/>
                    </w:rPr>
                    <w:t>–</w:t>
                  </w:r>
                  <w:r w:rsidR="008F383F">
                    <w:rPr>
                      <w:color w:val="000000"/>
                      <w:sz w:val="24"/>
                      <w:szCs w:val="24"/>
                    </w:rPr>
                    <w:t>482</w:t>
                  </w:r>
                </w:p>
              </w:tc>
            </w:tr>
            <w:tr w:rsidR="00E96C8A" w:rsidTr="00E96C8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</w:tr>
            <w:tr w:rsidR="00E96C8A" w:rsidTr="00E96C8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E96C8A" w:rsidTr="00E96C8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SOCIALINIŲ PASLAUGŲ SKYRIAUS</w:t>
                  </w:r>
                </w:p>
              </w:tc>
            </w:tr>
            <w:tr w:rsidR="00E96C8A" w:rsidTr="00E96C8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 w:rsidP="00E96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E96C8A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E96C8A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E96C8A" w:rsidTr="00E96C8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EC3304" w:rsidRDefault="00EC3304"/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  <w:tr w:rsidR="00EC3304" w:rsidTr="00E96C8A">
        <w:trPr>
          <w:trHeight w:val="349"/>
        </w:trPr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54" w:type="dxa"/>
            <w:gridSpan w:val="3"/>
          </w:tcPr>
          <w:p w:rsidR="00EC3304" w:rsidRDefault="00EC3304">
            <w:pPr>
              <w:pStyle w:val="EmptyLayoutCell"/>
            </w:pPr>
          </w:p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  <w:tr w:rsidR="00E96C8A" w:rsidTr="00E96C8A"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9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3304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C33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EC33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EC3304" w:rsidRDefault="00EC3304"/>
        </w:tc>
      </w:tr>
      <w:tr w:rsidR="00EC3304" w:rsidTr="00E96C8A">
        <w:trPr>
          <w:trHeight w:val="120"/>
        </w:trPr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54" w:type="dxa"/>
            <w:gridSpan w:val="3"/>
          </w:tcPr>
          <w:p w:rsidR="00EC3304" w:rsidRDefault="00EC3304">
            <w:pPr>
              <w:pStyle w:val="EmptyLayoutCell"/>
            </w:pPr>
          </w:p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  <w:tr w:rsidR="00E96C8A" w:rsidTr="00E96C8A"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9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330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C33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C330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EC3304" w:rsidRDefault="00EC3304"/>
              </w:tc>
            </w:tr>
            <w:tr w:rsidR="00EC33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C330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EC3304" w:rsidRDefault="00EC3304"/>
              </w:tc>
            </w:tr>
          </w:tbl>
          <w:p w:rsidR="00EC3304" w:rsidRDefault="00EC3304"/>
        </w:tc>
      </w:tr>
      <w:tr w:rsidR="00EC3304" w:rsidTr="00E96C8A">
        <w:trPr>
          <w:trHeight w:val="126"/>
        </w:trPr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54" w:type="dxa"/>
            <w:gridSpan w:val="3"/>
          </w:tcPr>
          <w:p w:rsidR="00EC3304" w:rsidRDefault="00EC3304">
            <w:pPr>
              <w:pStyle w:val="EmptyLayoutCell"/>
            </w:pPr>
          </w:p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  <w:tr w:rsidR="00E96C8A" w:rsidTr="00E96C8A"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9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330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C33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srities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C330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Globėjų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įtėvių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paieška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,parinkimas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paskyrimas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EC3304" w:rsidRDefault="00EC3304"/>
              </w:tc>
            </w:tr>
            <w:tr w:rsidR="00EC33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veiklos srities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C330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Socialinių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vaikams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netekusiems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tėvų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globos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EC3304" w:rsidRDefault="00EC3304"/>
              </w:tc>
            </w:tr>
          </w:tbl>
          <w:p w:rsidR="00EC3304" w:rsidRDefault="00EC3304"/>
        </w:tc>
      </w:tr>
      <w:tr w:rsidR="00EC3304" w:rsidTr="00E96C8A">
        <w:trPr>
          <w:trHeight w:val="100"/>
        </w:trPr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54" w:type="dxa"/>
            <w:gridSpan w:val="3"/>
          </w:tcPr>
          <w:p w:rsidR="00EC3304" w:rsidRDefault="00EC3304">
            <w:pPr>
              <w:pStyle w:val="EmptyLayoutCell"/>
            </w:pPr>
          </w:p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  <w:tr w:rsidR="00E96C8A" w:rsidTr="00E96C8A"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79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330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EC3304" w:rsidRDefault="00EC3304"/>
        </w:tc>
      </w:tr>
      <w:tr w:rsidR="00EC3304" w:rsidTr="00E96C8A">
        <w:trPr>
          <w:trHeight w:val="39"/>
        </w:trPr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54" w:type="dxa"/>
            <w:gridSpan w:val="3"/>
          </w:tcPr>
          <w:p w:rsidR="00EC3304" w:rsidRDefault="00EC3304">
            <w:pPr>
              <w:pStyle w:val="EmptyLayoutCell"/>
            </w:pPr>
          </w:p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  <w:tr w:rsidR="00E96C8A" w:rsidTr="00E96C8A"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9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EC3304" w:rsidTr="00E96C8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 w:rsidP="00E96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Apdoroja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EC3304" w:rsidTr="00E96C8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 w:rsidP="00E96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Nagrinėja prašymus ir kitus dokumentus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vykdymo, rengia sprendimus ir atsakymus arba prireikus koordinuoja prašymų ir kitų dokumentų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 nagrinėjimą arba prireikus koordinuoja sprendimų ir atsakymų rengimą.</w:t>
                  </w:r>
                </w:p>
              </w:tc>
            </w:tr>
            <w:tr w:rsidR="00EC3304" w:rsidTr="00E96C8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 w:rsidP="00E96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pasiūlymus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EC3304" w:rsidTr="00E96C8A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 w:rsidP="00E96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teisės aktų projektus ir kitus susijusius dokumentus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teisės aktų projektų ir kitų susijusių dokumentų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EC3304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11. Konsultuoja priskirtos srities klausimais.</w:t>
                  </w:r>
                </w:p>
                <w:p w:rsidR="00E96C8A" w:rsidRDefault="00E96C8A">
                  <w:pPr>
                    <w:rPr>
                      <w:color w:val="000000"/>
                      <w:sz w:val="24"/>
                    </w:rPr>
                  </w:pPr>
                </w:p>
                <w:p w:rsidR="00E96C8A" w:rsidRDefault="00E96C8A">
                  <w:pPr>
                    <w:rPr>
                      <w:color w:val="000000"/>
                      <w:sz w:val="24"/>
                    </w:rPr>
                  </w:pPr>
                </w:p>
                <w:p w:rsidR="00E96C8A" w:rsidRDefault="00E96C8A"/>
              </w:tc>
            </w:tr>
          </w:tbl>
          <w:p w:rsidR="00EC3304" w:rsidRDefault="00EC3304"/>
        </w:tc>
      </w:tr>
      <w:tr w:rsidR="00EC3304" w:rsidTr="00E96C8A">
        <w:trPr>
          <w:trHeight w:val="20"/>
        </w:trPr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54" w:type="dxa"/>
            <w:gridSpan w:val="3"/>
          </w:tcPr>
          <w:p w:rsidR="00EC3304" w:rsidRDefault="00EC3304">
            <w:pPr>
              <w:pStyle w:val="EmptyLayoutCell"/>
            </w:pPr>
          </w:p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  <w:tr w:rsidR="00E96C8A" w:rsidTr="00E96C8A"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9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EC3304" w:rsidTr="00E96C8A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 w:rsidP="00E96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Organizuoja 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apsaugos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įvaikinimo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tarnybos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apsaugos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darbo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ministerijos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toliau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Tarnyba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teritoriniam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nustačius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tėvų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netekusį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laikinojo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globėjo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rūpintojo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parinkimą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paskyrimą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C3304" w:rsidTr="00E96C8A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 w:rsidP="00E96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), Tarnybos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teritoriniu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jeigu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nebus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fizinių asmenų,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šeimynų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budinčių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laikinai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rūpintis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kitų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tarpusavyje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ieškant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laikinojo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globėjo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rūpintojo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savivaldybėje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C3304" w:rsidTr="00E96C8A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 w:rsidP="00E96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laikinąją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tėvų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: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tėvų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laikino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išvykimo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iš Lietuvos Respublikos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laikotarpiu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prašymus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laikinosios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tėvų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nustatymo ir rengia Savivaldybės administracijos direktoriaus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įsakymų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laikinosios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tėvų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nustatymo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panaikinimo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C3304" w:rsidTr="00E96C8A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 w:rsidP="00E96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Priima fizinių asmenų prašymus ir kitus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reikiamus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įstaigoje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šeimynoje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globojamo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rūpinamo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išleidimo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laikinai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svečiuoti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organizuoja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įvertinimą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teisės aktų nustatyta tvarka.</w:t>
                  </w:r>
                </w:p>
              </w:tc>
            </w:tr>
            <w:tr w:rsidR="00EC3304" w:rsidTr="00E96C8A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 w:rsidP="00E96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Rengia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užimtumo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įgyvendinimą.</w:t>
                  </w:r>
                </w:p>
              </w:tc>
            </w:tr>
            <w:tr w:rsidR="00EC3304" w:rsidTr="00E96C8A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 w:rsidP="00E96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Dalyvauja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rengia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dokumentus,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specifikacijas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kitus dokumentus, sutarčių projektus; kontroliuoja sutarčių vykdymą,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siekdamas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prieinamumą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kokybę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racionalų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išteklių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konkursus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priemones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EC3304" w:rsidRDefault="00EC3304"/>
        </w:tc>
      </w:tr>
      <w:tr w:rsidR="00EC3304" w:rsidTr="00E96C8A">
        <w:trPr>
          <w:trHeight w:val="20"/>
        </w:trPr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54" w:type="dxa"/>
            <w:gridSpan w:val="3"/>
          </w:tcPr>
          <w:p w:rsidR="00EC3304" w:rsidRDefault="00EC3304">
            <w:pPr>
              <w:pStyle w:val="EmptyLayoutCell"/>
            </w:pPr>
          </w:p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  <w:tr w:rsidR="00E96C8A" w:rsidTr="00E96C8A"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9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33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:rsidR="00EC3304" w:rsidRDefault="00EC3304"/>
        </w:tc>
      </w:tr>
      <w:tr w:rsidR="00EC3304" w:rsidTr="00E96C8A">
        <w:trPr>
          <w:trHeight w:val="139"/>
        </w:trPr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54" w:type="dxa"/>
            <w:gridSpan w:val="3"/>
          </w:tcPr>
          <w:p w:rsidR="00EC3304" w:rsidRDefault="00EC3304">
            <w:pPr>
              <w:pStyle w:val="EmptyLayoutCell"/>
            </w:pPr>
          </w:p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  <w:tr w:rsidR="00E96C8A" w:rsidTr="00E96C8A"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EC330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C33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>19.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C3304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EC3304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EC3304" w:rsidTr="00E96C8A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C3304" w:rsidRDefault="00645995" w:rsidP="00E96C8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C3304" w:rsidTr="00E96C8A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C3304" w:rsidRDefault="00645995">
                              <w:r>
                                <w:rPr>
                                  <w:color w:val="000000"/>
                                  <w:sz w:val="24"/>
                                </w:rPr>
                                <w:t>19.2. studijų kryptis – viešasis administravimas (arba);</w:t>
                              </w:r>
                            </w:p>
                          </w:tc>
                        </w:tr>
                        <w:tr w:rsidR="00EC3304" w:rsidTr="00E96C8A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C3304" w:rsidRDefault="0064599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EC3304" w:rsidTr="00E96C8A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C3304" w:rsidRDefault="00645995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EC3304" w:rsidRDefault="00EC3304"/>
                    </w:tc>
                  </w:tr>
                  <w:tr w:rsidR="00EC3304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16"/>
                        </w:tblGrid>
                        <w:tr w:rsidR="00EC3304" w:rsidTr="00E96C8A">
                          <w:trPr>
                            <w:trHeight w:val="260"/>
                          </w:trPr>
                          <w:tc>
                            <w:tcPr>
                              <w:tcW w:w="941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C3304" w:rsidRDefault="00645995" w:rsidP="00E96C8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C3304" w:rsidTr="00E96C8A">
                          <w:trPr>
                            <w:trHeight w:val="260"/>
                          </w:trPr>
                          <w:tc>
                            <w:tcPr>
                              <w:tcW w:w="941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C3304" w:rsidRDefault="0064599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paslaugų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organizavimo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ar teikimo srities patirtis;</w:t>
                              </w:r>
                            </w:p>
                          </w:tc>
                        </w:tr>
                        <w:tr w:rsidR="00EC3304" w:rsidTr="00E96C8A">
                          <w:trPr>
                            <w:trHeight w:val="260"/>
                          </w:trPr>
                          <w:tc>
                            <w:tcPr>
                              <w:tcW w:w="941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C3304" w:rsidRDefault="0064599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EC3304" w:rsidRDefault="00EC3304"/>
                    </w:tc>
                  </w:tr>
                </w:tbl>
                <w:p w:rsidR="00EC3304" w:rsidRDefault="00EC3304"/>
              </w:tc>
            </w:tr>
          </w:tbl>
          <w:p w:rsidR="00EC3304" w:rsidRDefault="00EC3304"/>
        </w:tc>
      </w:tr>
      <w:tr w:rsidR="00EC3304" w:rsidTr="00E96C8A">
        <w:trPr>
          <w:trHeight w:val="62"/>
        </w:trPr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54" w:type="dxa"/>
            <w:gridSpan w:val="3"/>
          </w:tcPr>
          <w:p w:rsidR="00EC3304" w:rsidRDefault="00EC3304">
            <w:pPr>
              <w:pStyle w:val="EmptyLayoutCell"/>
            </w:pPr>
          </w:p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  <w:tr w:rsidR="00E96C8A" w:rsidTr="00E96C8A"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C330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EC3304" w:rsidRDefault="0064599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C33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>20.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C3304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t>20.1. komunikacija – 4;</w:t>
                        </w:r>
                      </w:p>
                    </w:tc>
                  </w:tr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t>20.2. analizė ir pagrindimas – 3;</w:t>
                        </w:r>
                      </w:p>
                    </w:tc>
                  </w:tr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t>20.3. patikimumas ir atsakingumas – 3;</w:t>
                        </w:r>
                      </w:p>
                    </w:tc>
                  </w:tr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t>20.4. organizuotumas – 3;</w:t>
                        </w:r>
                      </w:p>
                    </w:tc>
                  </w:tr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t xml:space="preserve">20.5.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3.</w:t>
                        </w:r>
                      </w:p>
                    </w:tc>
                  </w:tr>
                </w:tbl>
                <w:p w:rsidR="00EC3304" w:rsidRDefault="00EC3304"/>
              </w:tc>
            </w:tr>
            <w:tr w:rsidR="00EC33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>21.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C3304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orientacija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aptarnaujamą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asmenį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EC3304" w:rsidRDefault="00EC3304"/>
              </w:tc>
            </w:tr>
            <w:tr w:rsidR="00EC33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>22.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C330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C33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C3304" w:rsidRDefault="00645995"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 xml:space="preserve">22.1.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dokumentų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EC3304" w:rsidRDefault="00EC3304"/>
              </w:tc>
            </w:tr>
          </w:tbl>
          <w:p w:rsidR="00EC3304" w:rsidRDefault="00EC3304"/>
        </w:tc>
      </w:tr>
      <w:tr w:rsidR="00EC3304" w:rsidTr="00E96C8A">
        <w:trPr>
          <w:trHeight w:val="517"/>
        </w:trPr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54" w:type="dxa"/>
            <w:gridSpan w:val="3"/>
          </w:tcPr>
          <w:p w:rsidR="00EC3304" w:rsidRDefault="00EC3304">
            <w:pPr>
              <w:pStyle w:val="EmptyLayoutCell"/>
            </w:pPr>
          </w:p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  <w:tr w:rsidR="00E96C8A" w:rsidTr="00E96C8A"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EC330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</w:tr>
            <w:tr w:rsidR="00EC330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</w:tr>
            <w:tr w:rsidR="00EC330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</w:tr>
            <w:tr w:rsidR="00EC330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</w:tr>
            <w:tr w:rsidR="00EC330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</w:tr>
            <w:tr w:rsidR="00EC330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</w:tr>
            <w:tr w:rsidR="00EC330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645995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</w:tr>
            <w:tr w:rsidR="00EC330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C3304" w:rsidRDefault="00EC3304"/>
              </w:tc>
            </w:tr>
          </w:tbl>
          <w:p w:rsidR="00EC3304" w:rsidRDefault="00EC3304"/>
        </w:tc>
      </w:tr>
      <w:tr w:rsidR="00EC3304" w:rsidTr="00E96C8A">
        <w:trPr>
          <w:trHeight w:val="41"/>
        </w:trPr>
        <w:tc>
          <w:tcPr>
            <w:tcW w:w="20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12" w:type="dxa"/>
          </w:tcPr>
          <w:p w:rsidR="00EC3304" w:rsidRDefault="00EC3304">
            <w:pPr>
              <w:pStyle w:val="EmptyLayoutCell"/>
            </w:pPr>
          </w:p>
        </w:tc>
        <w:tc>
          <w:tcPr>
            <w:tcW w:w="9454" w:type="dxa"/>
            <w:gridSpan w:val="3"/>
          </w:tcPr>
          <w:p w:rsidR="00EC3304" w:rsidRDefault="00EC3304">
            <w:pPr>
              <w:pStyle w:val="EmptyLayoutCell"/>
            </w:pPr>
          </w:p>
        </w:tc>
        <w:tc>
          <w:tcPr>
            <w:tcW w:w="13" w:type="dxa"/>
          </w:tcPr>
          <w:p w:rsidR="00EC3304" w:rsidRDefault="00EC3304">
            <w:pPr>
              <w:pStyle w:val="EmptyLayoutCell"/>
            </w:pPr>
          </w:p>
        </w:tc>
      </w:tr>
    </w:tbl>
    <w:p w:rsidR="00645995" w:rsidRDefault="00645995"/>
    <w:sectPr w:rsidR="00645995" w:rsidSect="00E96C8A">
      <w:pgSz w:w="11905" w:h="16837"/>
      <w:pgMar w:top="1135" w:right="566" w:bottom="851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8A"/>
    <w:rsid w:val="00645995"/>
    <w:rsid w:val="008F383F"/>
    <w:rsid w:val="00E96C8A"/>
    <w:rsid w:val="00E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3F873-E8B4-43EF-953B-6B2AE9EE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3017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3</cp:revision>
  <dcterms:created xsi:type="dcterms:W3CDTF">2021-03-07T10:31:00Z</dcterms:created>
  <dcterms:modified xsi:type="dcterms:W3CDTF">2021-03-09T15:35:00Z</dcterms:modified>
</cp:coreProperties>
</file>