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15"/>
        <w:gridCol w:w="15"/>
        <w:gridCol w:w="9575"/>
        <w:gridCol w:w="10"/>
      </w:tblGrid>
      <w:tr w:rsidR="00FE2556" w:rsidTr="00FE2556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D33ACA" w:rsidTr="00D33A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33ACA" w:rsidRDefault="00D33ACA" w:rsidP="00D33ACA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33ACA" w:rsidRDefault="00D33ACA" w:rsidP="00D33ACA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D33ACA" w:rsidTr="00D33A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33ACA" w:rsidRDefault="00D33ACA" w:rsidP="00D33ACA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33ACA" w:rsidRDefault="00D33ACA" w:rsidP="00D33ACA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D33ACA" w:rsidTr="00D33A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33ACA" w:rsidRDefault="00D33ACA" w:rsidP="00D33ACA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33ACA" w:rsidRPr="004E5EDE" w:rsidRDefault="00D33ACA" w:rsidP="00CB283D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vasario</w:t>
                  </w:r>
                  <w:proofErr w:type="spellEnd"/>
                  <w:r w:rsidRPr="004E5EDE">
                    <w:rPr>
                      <w:sz w:val="24"/>
                      <w:szCs w:val="24"/>
                    </w:rPr>
                    <w:t xml:space="preserve"> </w:t>
                  </w:r>
                  <w:r w:rsidR="00CB283D">
                    <w:rPr>
                      <w:sz w:val="24"/>
                      <w:szCs w:val="24"/>
                    </w:rPr>
                    <w:t>10</w:t>
                  </w:r>
                  <w:r w:rsidRPr="004E5EDE"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D33ACA" w:rsidTr="00D33A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33ACA" w:rsidRDefault="00D33ACA" w:rsidP="00D33ACA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33ACA" w:rsidRPr="004E5EDE" w:rsidRDefault="00D33ACA" w:rsidP="00CB283D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bookmarkStart w:id="0" w:name="_GoBack"/>
                  <w:bookmarkEnd w:id="0"/>
                  <w:r w:rsidR="00CB283D">
                    <w:rPr>
                      <w:color w:val="000000"/>
                      <w:sz w:val="24"/>
                      <w:szCs w:val="24"/>
                    </w:rPr>
                    <w:t>146</w:t>
                  </w:r>
                  <w:r w:rsidRPr="004E5ED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E2556" w:rsidTr="00D33ACA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A95681"/>
              </w:tc>
            </w:tr>
            <w:tr w:rsidR="00FE2556" w:rsidTr="00D33ACA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D33ACA" w:rsidTr="00D33ACA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33ACA" w:rsidRPr="004A524F" w:rsidRDefault="00D33ACA" w:rsidP="00D33A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524F">
                    <w:rPr>
                      <w:b/>
                      <w:sz w:val="24"/>
                      <w:szCs w:val="24"/>
                    </w:rPr>
                    <w:t>TURTO VALDYMO SKYRIAUS</w:t>
                  </w:r>
                </w:p>
              </w:tc>
            </w:tr>
            <w:tr w:rsidR="00D33ACA" w:rsidTr="00D33ACA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33ACA" w:rsidRDefault="00D33ACA" w:rsidP="00D33A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D33ACA" w:rsidTr="00D33ACA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33ACA" w:rsidRDefault="00D33ACA" w:rsidP="00D33A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A95681" w:rsidRDefault="00A95681"/>
        </w:tc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</w:tr>
      <w:tr w:rsidR="00A95681">
        <w:trPr>
          <w:trHeight w:val="349"/>
        </w:trPr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9055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</w:tr>
      <w:tr w:rsidR="00FE2556" w:rsidTr="00FE2556"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95681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A95681" w:rsidRDefault="00613E7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A9568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>
                  <w:r>
                    <w:rPr>
                      <w:color w:val="000000"/>
                      <w:sz w:val="24"/>
                    </w:rPr>
                    <w:t>1. Pareigybės lygmuo – vyriausiasis specialistas (IX lygmuo).</w:t>
                  </w:r>
                </w:p>
              </w:tc>
            </w:tr>
            <w:tr w:rsidR="00A9568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A95681" w:rsidRDefault="00A95681"/>
        </w:tc>
      </w:tr>
      <w:tr w:rsidR="00A95681">
        <w:trPr>
          <w:trHeight w:val="120"/>
        </w:trPr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9055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</w:tr>
      <w:tr w:rsidR="00FE2556" w:rsidTr="00FE2556"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9568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A95681" w:rsidRDefault="00613E7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A9568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9568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9568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95681" w:rsidRDefault="00613E7E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A95681" w:rsidRDefault="00A95681"/>
              </w:tc>
            </w:tr>
            <w:tr w:rsidR="00A9568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A9568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9568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95681" w:rsidRDefault="00613E7E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A95681" w:rsidRDefault="00A95681"/>
              </w:tc>
            </w:tr>
          </w:tbl>
          <w:p w:rsidR="00A95681" w:rsidRDefault="00A95681"/>
        </w:tc>
      </w:tr>
      <w:tr w:rsidR="00A95681">
        <w:trPr>
          <w:trHeight w:val="126"/>
        </w:trPr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9055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</w:tr>
      <w:tr w:rsidR="00FE2556" w:rsidTr="00FE2556"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A9568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A95681" w:rsidRDefault="00613E7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A9568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9568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619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9"/>
                  </w:tblGrid>
                  <w:tr w:rsidR="00A95681" w:rsidTr="00D33ACA">
                    <w:trPr>
                      <w:trHeight w:val="260"/>
                    </w:trPr>
                    <w:tc>
                      <w:tcPr>
                        <w:tcW w:w="961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95681" w:rsidRDefault="00613E7E" w:rsidP="00D33ACA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5.1. Šiaulių miesto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daugiabučių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savininkų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bendrijų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jungtinės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veiklos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sutartimi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įgaliotų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asmenų ir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paskirtų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bendrojo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objektų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administratorių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veiklos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A95681" w:rsidRDefault="00A95681"/>
              </w:tc>
            </w:tr>
            <w:tr w:rsidR="00A9568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9568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5"/>
                  </w:tblGrid>
                  <w:tr w:rsidR="00A95681" w:rsidTr="00D33ACA">
                    <w:trPr>
                      <w:trHeight w:val="260"/>
                    </w:trPr>
                    <w:tc>
                      <w:tcPr>
                        <w:tcW w:w="961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95681" w:rsidRDefault="00613E7E" w:rsidP="00D33ACA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6.1. Šiaulių miesto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daugiabučių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savininkų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bendrijų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jungtinės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veiklos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sutartimi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įgaliotų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asmenų ir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paskirtų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bendrojo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objektų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administratorių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veiklos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organizavimas.</w:t>
                        </w:r>
                      </w:p>
                    </w:tc>
                  </w:tr>
                </w:tbl>
                <w:p w:rsidR="00A95681" w:rsidRDefault="00A95681"/>
              </w:tc>
            </w:tr>
          </w:tbl>
          <w:p w:rsidR="00A95681" w:rsidRDefault="00A95681"/>
        </w:tc>
      </w:tr>
      <w:tr w:rsidR="00A95681">
        <w:trPr>
          <w:trHeight w:val="100"/>
        </w:trPr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9055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</w:tr>
      <w:tr w:rsidR="00FE2556" w:rsidTr="00FE2556"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9568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A95681" w:rsidRDefault="00613E7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A95681" w:rsidRDefault="00A95681"/>
        </w:tc>
      </w:tr>
      <w:tr w:rsidR="00A95681">
        <w:trPr>
          <w:trHeight w:val="39"/>
        </w:trPr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9055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</w:tr>
      <w:tr w:rsidR="00FE2556" w:rsidTr="00FE2556"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988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  <w:gridCol w:w="137"/>
              <w:gridCol w:w="271"/>
            </w:tblGrid>
            <w:tr w:rsidR="00A95681" w:rsidTr="00D33ACA">
              <w:trPr>
                <w:trHeight w:val="260"/>
              </w:trPr>
              <w:tc>
                <w:tcPr>
                  <w:tcW w:w="9886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 w:rsidP="00D33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A95681" w:rsidTr="00D33ACA">
              <w:trPr>
                <w:trHeight w:val="260"/>
              </w:trPr>
              <w:tc>
                <w:tcPr>
                  <w:tcW w:w="9886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 w:rsidP="00D33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veiklas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95681" w:rsidTr="00D33ACA">
              <w:trPr>
                <w:trHeight w:val="260"/>
              </w:trPr>
              <w:tc>
                <w:tcPr>
                  <w:tcW w:w="9886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 w:rsidP="00D33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Konsultuoja priskirtos srities klausimais.</w:t>
                  </w:r>
                </w:p>
              </w:tc>
            </w:tr>
            <w:tr w:rsidR="00A95681" w:rsidTr="00D33ACA">
              <w:trPr>
                <w:trHeight w:val="260"/>
              </w:trPr>
              <w:tc>
                <w:tcPr>
                  <w:tcW w:w="9886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 w:rsidP="00D33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rengimą.</w:t>
                  </w:r>
                </w:p>
              </w:tc>
            </w:tr>
            <w:tr w:rsidR="00A95681" w:rsidTr="00D33ACA">
              <w:trPr>
                <w:gridAfter w:val="1"/>
                <w:wAfter w:w="271" w:type="dxa"/>
                <w:trHeight w:val="260"/>
              </w:trPr>
              <w:tc>
                <w:tcPr>
                  <w:tcW w:w="9615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 w:rsidP="00D33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Nagrinėja skundus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arba prireikus koordinuoja skundų ir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nagrinėjimą, rengia atsakymus arba prireikus koordinuoja atsakymų rengimą.</w:t>
                  </w:r>
                </w:p>
              </w:tc>
            </w:tr>
            <w:tr w:rsidR="00A95681" w:rsidTr="00D33ACA">
              <w:trPr>
                <w:gridAfter w:val="2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 w:rsidP="00D33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12. Planuoja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veiklas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95681" w:rsidTr="00D33ACA">
              <w:trPr>
                <w:gridAfter w:val="2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 w:rsidP="00D33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sprendimų,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sprendimų,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95681" w:rsidTr="00D33ACA">
              <w:trPr>
                <w:gridAfter w:val="2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 w:rsidP="00D33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A95681" w:rsidTr="00D33ACA">
              <w:trPr>
                <w:gridAfter w:val="2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 w:rsidP="00D33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A95681" w:rsidTr="00D33ACA">
              <w:trPr>
                <w:gridAfter w:val="2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 w:rsidP="00D33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Apdoroja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A95681" w:rsidTr="00D33ACA">
              <w:trPr>
                <w:gridAfter w:val="2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 w:rsidP="00D33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Organizuoja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organizavimą.</w:t>
                  </w:r>
                </w:p>
              </w:tc>
            </w:tr>
          </w:tbl>
          <w:p w:rsidR="00A95681" w:rsidRDefault="00A95681" w:rsidP="00D33ACA">
            <w:pPr>
              <w:jc w:val="both"/>
            </w:pPr>
          </w:p>
        </w:tc>
      </w:tr>
      <w:tr w:rsidR="00A95681">
        <w:trPr>
          <w:trHeight w:val="20"/>
        </w:trPr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 w:rsidP="00D33ACA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A95681" w:rsidRDefault="00A95681" w:rsidP="00D33ACA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A95681" w:rsidRDefault="00A95681" w:rsidP="00D33ACA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A95681" w:rsidRDefault="00A95681" w:rsidP="00D33ACA">
            <w:pPr>
              <w:pStyle w:val="EmptyLayoutCell"/>
              <w:jc w:val="both"/>
            </w:pPr>
          </w:p>
        </w:tc>
      </w:tr>
      <w:tr w:rsidR="00FE2556" w:rsidTr="00FE2556"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4"/>
            </w:tblGrid>
            <w:tr w:rsidR="00A95681" w:rsidTr="00D33ACA">
              <w:trPr>
                <w:trHeight w:val="260"/>
              </w:trPr>
              <w:tc>
                <w:tcPr>
                  <w:tcW w:w="94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 w:rsidP="00D33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Tikrina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daugiabučių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savininkų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valdymo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jungtinės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asmenų,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administratorių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daugiabučių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administruoti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veiklą, atliekant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planuotus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neplanuotus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patikrinimus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pagal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patalpų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savininkų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skundų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pranešimų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patikrinimo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95681" w:rsidTr="00D33ACA">
              <w:trPr>
                <w:trHeight w:val="260"/>
              </w:trPr>
              <w:tc>
                <w:tcPr>
                  <w:tcW w:w="94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 w:rsidP="00D33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Rengia Savivaldybės tarybos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projektus, susijusius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daugiabučių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administravimo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tarifų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apskaičiavimu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95681" w:rsidTr="00D33ACA">
              <w:trPr>
                <w:trHeight w:val="260"/>
              </w:trPr>
              <w:tc>
                <w:tcPr>
                  <w:tcW w:w="94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 w:rsidP="00D33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Rengia sutarčių projektus, sutarčių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daugiabučių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savininkų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jungtinės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įgaliotais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asmenimis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atsiskaitymo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daugiabučių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nuolatinę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eksploatavimą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pasirašyti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95681" w:rsidTr="00D33ACA">
              <w:trPr>
                <w:trHeight w:val="260"/>
              </w:trPr>
              <w:tc>
                <w:tcPr>
                  <w:tcW w:w="94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 w:rsidP="00D33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Tikrina, ar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administratoriai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skaičiuodami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administravimo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mokesčius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laikosi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teisės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mokesčių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siekiant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gyventojų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interesų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tenkinimą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95681" w:rsidTr="00D33ACA">
              <w:trPr>
                <w:trHeight w:val="260"/>
              </w:trPr>
              <w:tc>
                <w:tcPr>
                  <w:tcW w:w="94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 w:rsidP="00D33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Sudaro, tikslina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administruojamų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sąrašus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juos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skelbia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interneto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svetainėje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siekiant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informacijos apie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administratorių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veiklą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viešumą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visuomenės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apie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administruojamus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95681" w:rsidTr="00D33ACA">
              <w:trPr>
                <w:trHeight w:val="260"/>
              </w:trPr>
              <w:tc>
                <w:tcPr>
                  <w:tcW w:w="94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 w:rsidP="00D33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apie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daugiabučių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valdytojus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A95681" w:rsidRDefault="00A95681" w:rsidP="00D33ACA">
            <w:pPr>
              <w:jc w:val="both"/>
            </w:pPr>
          </w:p>
        </w:tc>
      </w:tr>
      <w:tr w:rsidR="00A95681">
        <w:trPr>
          <w:trHeight w:val="19"/>
        </w:trPr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9055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</w:tr>
      <w:tr w:rsidR="00FE2556" w:rsidTr="00FE2556"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4"/>
            </w:tblGrid>
            <w:tr w:rsidR="00A95681" w:rsidTr="00D33ACA">
              <w:trPr>
                <w:trHeight w:val="260"/>
              </w:trPr>
              <w:tc>
                <w:tcPr>
                  <w:tcW w:w="94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>
                  <w:r>
                    <w:rPr>
                      <w:color w:val="000000"/>
                      <w:sz w:val="24"/>
                    </w:rPr>
                    <w:t>24. Vykdo kitus nenuolatinio pobūdžio su struktūrinio padalinio veikla susijusius pavedimus.</w:t>
                  </w:r>
                </w:p>
              </w:tc>
            </w:tr>
          </w:tbl>
          <w:p w:rsidR="00A95681" w:rsidRDefault="00A95681"/>
        </w:tc>
      </w:tr>
      <w:tr w:rsidR="00A95681">
        <w:trPr>
          <w:trHeight w:val="139"/>
        </w:trPr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9055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</w:tr>
      <w:tr w:rsidR="00FE2556" w:rsidTr="00D33ACA">
        <w:trPr>
          <w:trHeight w:val="997"/>
        </w:trPr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0"/>
            </w:tblGrid>
            <w:tr w:rsidR="00A9568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A95681" w:rsidRDefault="00613E7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A9568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>
                  <w:r>
                    <w:rPr>
                      <w:color w:val="000000"/>
                      <w:sz w:val="24"/>
                    </w:rPr>
                    <w:t>25.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95681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0"/>
                  </w:tblGrid>
                  <w:tr w:rsidR="00A95681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  <w:gridCol w:w="240"/>
                        </w:tblGrid>
                        <w:tr w:rsidR="00A95681" w:rsidTr="00D33ACA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95681" w:rsidRDefault="00613E7E" w:rsidP="00D33ACA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A95681">
                          <w:trPr>
                            <w:gridAfter w:val="1"/>
                            <w:wAfter w:w="240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95681" w:rsidRDefault="00613E7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A95681">
                          <w:trPr>
                            <w:gridAfter w:val="1"/>
                            <w:wAfter w:w="240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95681" w:rsidRDefault="00613E7E">
                              <w:r>
                                <w:rPr>
                                  <w:color w:val="000000"/>
                                  <w:sz w:val="24"/>
                                </w:rPr>
                                <w:t>25.3. studijų kryptis – vadyba (arba);</w:t>
                              </w:r>
                            </w:p>
                          </w:tc>
                        </w:tr>
                        <w:tr w:rsidR="00A95681">
                          <w:trPr>
                            <w:gridAfter w:val="1"/>
                            <w:wAfter w:w="240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95681" w:rsidRDefault="00613E7E">
                              <w:r>
                                <w:rPr>
                                  <w:color w:val="000000"/>
                                  <w:sz w:val="24"/>
                                </w:rPr>
                                <w:t>25.4. studijų kryptis – viešasis administravimas (arba);</w:t>
                              </w:r>
                            </w:p>
                          </w:tc>
                        </w:tr>
                        <w:tr w:rsidR="00A95681">
                          <w:trPr>
                            <w:gridAfter w:val="1"/>
                            <w:wAfter w:w="240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95681" w:rsidRDefault="00613E7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25.5.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apskaita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A95681">
                          <w:trPr>
                            <w:gridAfter w:val="1"/>
                            <w:wAfter w:w="240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95681" w:rsidRDefault="00613E7E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A95681" w:rsidRDefault="00A95681"/>
                    </w:tc>
                  </w:tr>
                  <w:tr w:rsidR="00A95681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0"/>
                        </w:tblGrid>
                        <w:tr w:rsidR="00A95681" w:rsidTr="00D33ACA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95681" w:rsidRDefault="00613E7E" w:rsidP="00D33ACA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25.6.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A95681" w:rsidTr="00D33ACA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95681" w:rsidRDefault="00613E7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25.7.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gyvenamųjų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pastatų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valdymo,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priežiūros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ir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atnaujinimo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modernizavimo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 patirtis;</w:t>
                              </w:r>
                            </w:p>
                          </w:tc>
                        </w:tr>
                        <w:tr w:rsidR="00A95681" w:rsidTr="00D33ACA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95681" w:rsidRDefault="00613E7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25.8.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ne mažiau kaip 1 metai. </w:t>
                              </w:r>
                            </w:p>
                          </w:tc>
                        </w:tr>
                      </w:tbl>
                      <w:p w:rsidR="00A95681" w:rsidRDefault="00A95681"/>
                    </w:tc>
                  </w:tr>
                </w:tbl>
                <w:p w:rsidR="00D33ACA" w:rsidRDefault="00D33ACA" w:rsidP="00D33ACA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</w:p>
                <w:p w:rsidR="00D33ACA" w:rsidRDefault="00D33ACA" w:rsidP="00D33ACA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</w:p>
                <w:p w:rsidR="00D33ACA" w:rsidRDefault="00D33ACA" w:rsidP="00D33A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tbl>
                  <w:tblPr>
                    <w:tblpPr w:leftFromText="180" w:rightFromText="180" w:vertAnchor="text" w:horzAnchor="margin" w:tblpY="997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24"/>
                  </w:tblGrid>
                  <w:tr w:rsidR="00D33ACA" w:rsidTr="00D33ACA">
                    <w:trPr>
                      <w:trHeight w:val="63"/>
                    </w:trPr>
                    <w:tc>
                      <w:tcPr>
                        <w:tcW w:w="8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33ACA" w:rsidRDefault="00D33ACA" w:rsidP="00D33ACA">
                        <w:r>
                          <w:rPr>
                            <w:color w:val="000000"/>
                            <w:sz w:val="24"/>
                          </w:rPr>
                          <w:t>26. Bendrosios kompetencijos ir jų pakankami lygiai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:</w:t>
                        </w:r>
                        <w:r>
                          <w:rPr>
                            <w:color w:val="FFFFFF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  <w:tr w:rsidR="00D33ACA" w:rsidTr="00D33ACA">
                    <w:trPr>
                      <w:trHeight w:val="420"/>
                    </w:trPr>
                    <w:tc>
                      <w:tcPr>
                        <w:tcW w:w="862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612"/>
                        </w:tblGrid>
                        <w:tr w:rsidR="00D33ACA" w:rsidTr="00282EAF">
                          <w:trPr>
                            <w:trHeight w:val="63"/>
                          </w:trPr>
                          <w:tc>
                            <w:tcPr>
                              <w:tcW w:w="86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33ACA" w:rsidRDefault="00D33ACA" w:rsidP="00D33ACA">
                              <w:r>
                                <w:rPr>
                                  <w:color w:val="000000"/>
                                  <w:sz w:val="24"/>
                                </w:rPr>
                                <w:t>26.1. vertės visuomenei kūrimas – 3;</w:t>
                              </w:r>
                            </w:p>
                          </w:tc>
                        </w:tr>
                        <w:tr w:rsidR="00D33ACA" w:rsidTr="00282EAF">
                          <w:trPr>
                            <w:trHeight w:val="63"/>
                          </w:trPr>
                          <w:tc>
                            <w:tcPr>
                              <w:tcW w:w="86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33ACA" w:rsidRDefault="00D33ACA" w:rsidP="00D33ACA">
                              <w:r>
                                <w:rPr>
                                  <w:color w:val="000000"/>
                                  <w:sz w:val="24"/>
                                </w:rPr>
                                <w:t>26.2. organizuotumas – 3;</w:t>
                              </w:r>
                            </w:p>
                          </w:tc>
                        </w:tr>
                        <w:tr w:rsidR="00D33ACA" w:rsidTr="00282EAF">
                          <w:trPr>
                            <w:trHeight w:val="63"/>
                          </w:trPr>
                          <w:tc>
                            <w:tcPr>
                              <w:tcW w:w="86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33ACA" w:rsidRDefault="00D33ACA" w:rsidP="00D33ACA">
                              <w:r>
                                <w:rPr>
                                  <w:color w:val="000000"/>
                                  <w:sz w:val="24"/>
                                </w:rPr>
                                <w:t>26.3. patikimumas ir atsakingumas – 3;</w:t>
                              </w:r>
                            </w:p>
                          </w:tc>
                        </w:tr>
                        <w:tr w:rsidR="00D33ACA" w:rsidTr="00282EAF">
                          <w:trPr>
                            <w:trHeight w:val="63"/>
                          </w:trPr>
                          <w:tc>
                            <w:tcPr>
                              <w:tcW w:w="86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33ACA" w:rsidRDefault="00D33ACA" w:rsidP="00D33ACA">
                              <w:r>
                                <w:rPr>
                                  <w:color w:val="000000"/>
                                  <w:sz w:val="24"/>
                                </w:rPr>
                                <w:t>26.4. analizė ir pagrindimas – 4;</w:t>
                              </w:r>
                            </w:p>
                          </w:tc>
                        </w:tr>
                        <w:tr w:rsidR="00D33ACA" w:rsidTr="00282EAF">
                          <w:trPr>
                            <w:trHeight w:val="63"/>
                          </w:trPr>
                          <w:tc>
                            <w:tcPr>
                              <w:tcW w:w="86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33ACA" w:rsidRDefault="00D33ACA" w:rsidP="00D33ACA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26.5.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komunikacija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3.</w:t>
                              </w:r>
                            </w:p>
                          </w:tc>
                        </w:tr>
                      </w:tbl>
                      <w:p w:rsidR="00D33ACA" w:rsidRDefault="00D33ACA" w:rsidP="00D33ACA"/>
                    </w:tc>
                  </w:tr>
                  <w:tr w:rsidR="00D33ACA" w:rsidTr="00D33ACA">
                    <w:trPr>
                      <w:trHeight w:val="63"/>
                    </w:trPr>
                    <w:tc>
                      <w:tcPr>
                        <w:tcW w:w="8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33ACA" w:rsidRDefault="00D33ACA" w:rsidP="00D33ACA">
                        <w:r>
                          <w:rPr>
                            <w:color w:val="000000"/>
                            <w:sz w:val="24"/>
                          </w:rPr>
                          <w:t>27. Specifinės kompetencijos ir jų pakankami lygiai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:</w:t>
                        </w:r>
                        <w:r>
                          <w:rPr>
                            <w:color w:val="FFFFFF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  <w:tr w:rsidR="00D33ACA" w:rsidTr="00D33ACA">
                    <w:trPr>
                      <w:trHeight w:val="168"/>
                    </w:trPr>
                    <w:tc>
                      <w:tcPr>
                        <w:tcW w:w="862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862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624"/>
                        </w:tblGrid>
                        <w:tr w:rsidR="00D33ACA" w:rsidTr="00282EAF">
                          <w:trPr>
                            <w:trHeight w:val="47"/>
                          </w:trPr>
                          <w:tc>
                            <w:tcPr>
                              <w:tcW w:w="862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33ACA" w:rsidRDefault="00D33ACA" w:rsidP="00D33ACA">
                              <w:r>
                                <w:rPr>
                                  <w:color w:val="000000"/>
                                  <w:sz w:val="24"/>
                                </w:rPr>
                                <w:t>27.1. konfliktų valdymas – 3;</w:t>
                              </w:r>
                            </w:p>
                          </w:tc>
                        </w:tr>
                        <w:tr w:rsidR="00D33ACA" w:rsidTr="00282EAF">
                          <w:trPr>
                            <w:trHeight w:val="47"/>
                          </w:trPr>
                          <w:tc>
                            <w:tcPr>
                              <w:tcW w:w="862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33ACA" w:rsidRDefault="00D33ACA" w:rsidP="00D33ACA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27.2.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kontrolės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ir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priežiūros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proceso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valdymas – 3.</w:t>
                              </w:r>
                            </w:p>
                          </w:tc>
                        </w:tr>
                      </w:tbl>
                      <w:p w:rsidR="00D33ACA" w:rsidRDefault="00D33ACA" w:rsidP="00D33ACA"/>
                    </w:tc>
                  </w:tr>
                  <w:tr w:rsidR="00D33ACA" w:rsidTr="00D33ACA">
                    <w:trPr>
                      <w:trHeight w:val="63"/>
                    </w:trPr>
                    <w:tc>
                      <w:tcPr>
                        <w:tcW w:w="8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33ACA" w:rsidRDefault="00D33ACA" w:rsidP="00D33ACA">
                        <w:r>
                          <w:rPr>
                            <w:color w:val="000000"/>
                            <w:sz w:val="24"/>
                          </w:rPr>
                          <w:t>28. Profesinės kompetencijos ir jų pakankami lygiai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:</w:t>
                        </w:r>
                        <w:r>
                          <w:rPr>
                            <w:color w:val="FFFFFF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  <w:tr w:rsidR="00D33ACA" w:rsidTr="00D33ACA">
                    <w:trPr>
                      <w:trHeight w:val="84"/>
                    </w:trPr>
                    <w:tc>
                      <w:tcPr>
                        <w:tcW w:w="862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612"/>
                        </w:tblGrid>
                        <w:tr w:rsidR="00D33ACA" w:rsidTr="00282EAF">
                          <w:trPr>
                            <w:trHeight w:val="63"/>
                          </w:trPr>
                          <w:tc>
                            <w:tcPr>
                              <w:tcW w:w="86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33ACA" w:rsidRDefault="00D33ACA" w:rsidP="00D33ACA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28.1.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turto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valdymas – 3.</w:t>
                              </w:r>
                            </w:p>
                          </w:tc>
                        </w:tr>
                      </w:tbl>
                      <w:p w:rsidR="00D33ACA" w:rsidRDefault="00D33ACA" w:rsidP="00D33ACA"/>
                    </w:tc>
                  </w:tr>
                </w:tbl>
                <w:p w:rsidR="00D33ACA" w:rsidRDefault="00D33ACA" w:rsidP="00D33A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</w:tbl>
          <w:p w:rsidR="00A95681" w:rsidRDefault="00A95681"/>
        </w:tc>
      </w:tr>
      <w:tr w:rsidR="00A95681">
        <w:trPr>
          <w:trHeight w:val="62"/>
        </w:trPr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9055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</w:tr>
      <w:tr w:rsidR="00FE2556" w:rsidTr="00FE2556"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9068" w:type="dxa"/>
            <w:gridSpan w:val="2"/>
          </w:tcPr>
          <w:p w:rsidR="00A95681" w:rsidRDefault="00A95681"/>
        </w:tc>
      </w:tr>
      <w:tr w:rsidR="00A95681">
        <w:trPr>
          <w:trHeight w:val="517"/>
        </w:trPr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9055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</w:tr>
      <w:tr w:rsidR="00FE2556" w:rsidTr="00FE2556"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A9568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A95681"/>
              </w:tc>
            </w:tr>
            <w:tr w:rsidR="00A95681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A9568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A95681"/>
              </w:tc>
            </w:tr>
            <w:tr w:rsidR="00A9568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A95681"/>
              </w:tc>
            </w:tr>
            <w:tr w:rsidR="00A95681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A9568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A95681"/>
              </w:tc>
            </w:tr>
            <w:tr w:rsidR="00A9568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A95681"/>
              </w:tc>
            </w:tr>
            <w:tr w:rsidR="00A95681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A9568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A95681"/>
              </w:tc>
            </w:tr>
            <w:tr w:rsidR="00A9568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613E7E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A95681"/>
              </w:tc>
            </w:tr>
            <w:tr w:rsidR="00A9568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A9568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5681" w:rsidRDefault="00A95681"/>
              </w:tc>
            </w:tr>
          </w:tbl>
          <w:p w:rsidR="00A95681" w:rsidRDefault="00A95681"/>
        </w:tc>
      </w:tr>
      <w:tr w:rsidR="00A95681">
        <w:trPr>
          <w:trHeight w:val="41"/>
        </w:trPr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9055" w:type="dxa"/>
          </w:tcPr>
          <w:p w:rsidR="00A95681" w:rsidRDefault="00A95681">
            <w:pPr>
              <w:pStyle w:val="EmptyLayoutCell"/>
            </w:pPr>
          </w:p>
        </w:tc>
        <w:tc>
          <w:tcPr>
            <w:tcW w:w="13" w:type="dxa"/>
          </w:tcPr>
          <w:p w:rsidR="00A95681" w:rsidRDefault="00A95681">
            <w:pPr>
              <w:pStyle w:val="EmptyLayoutCell"/>
            </w:pPr>
          </w:p>
        </w:tc>
      </w:tr>
    </w:tbl>
    <w:p w:rsidR="00613E7E" w:rsidRDefault="00613E7E"/>
    <w:sectPr w:rsidR="00613E7E" w:rsidSect="00D33ACA">
      <w:pgSz w:w="11905" w:h="16837"/>
      <w:pgMar w:top="709" w:right="566" w:bottom="567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56"/>
    <w:rsid w:val="00613E7E"/>
    <w:rsid w:val="00A95681"/>
    <w:rsid w:val="00CB283D"/>
    <w:rsid w:val="00D33ACA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18EBA-DA5B-4EC4-AC65-82CDD788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3768</Words>
  <Characters>2149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2021-02-04T18:16:00Z</dcterms:created>
  <dcterms:modified xsi:type="dcterms:W3CDTF">2021-02-11T11:34:00Z</dcterms:modified>
</cp:coreProperties>
</file>