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AB5A05" w:rsidTr="00AB5A05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AB5A05" w:rsidTr="00AB5A0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AB5A05" w:rsidTr="00AB5A0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B5A05" w:rsidRDefault="00AB5A05" w:rsidP="00AB5A05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B5A05" w:rsidRDefault="00AB5A05" w:rsidP="00AB5A05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B5A05" w:rsidTr="00AB5A0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B5A05" w:rsidRDefault="00AB5A05" w:rsidP="00AB5A05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B5A05" w:rsidRPr="004E5EDE" w:rsidRDefault="00AB5A05" w:rsidP="00E1409B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E5EDE"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r>
                    <w:rPr>
                      <w:sz w:val="24"/>
                      <w:szCs w:val="24"/>
                    </w:rPr>
                    <w:t>vasario</w:t>
                  </w:r>
                  <w:proofErr w:type="spellEnd"/>
                  <w:r w:rsidRPr="004E5EDE">
                    <w:rPr>
                      <w:sz w:val="24"/>
                      <w:szCs w:val="24"/>
                    </w:rPr>
                    <w:t xml:space="preserve"> </w:t>
                  </w:r>
                  <w:r w:rsidR="00E1409B">
                    <w:rPr>
                      <w:sz w:val="24"/>
                      <w:szCs w:val="24"/>
                    </w:rPr>
                    <w:t>10</w:t>
                  </w:r>
                  <w:r w:rsidRPr="004E5EDE"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AB5A05" w:rsidTr="00AB5A05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B5A05" w:rsidRDefault="00AB5A05" w:rsidP="00AB5A05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B5A05" w:rsidRPr="004E5EDE" w:rsidRDefault="00AB5A05" w:rsidP="00E1409B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color w:val="000000"/>
                      <w:sz w:val="24"/>
                      <w:szCs w:val="24"/>
                    </w:rPr>
                    <w:t>įsakymu Nr. AP-</w:t>
                  </w:r>
                  <w:bookmarkStart w:id="0" w:name="_GoBack"/>
                  <w:bookmarkEnd w:id="0"/>
                  <w:r w:rsidR="00E1409B">
                    <w:rPr>
                      <w:color w:val="000000"/>
                      <w:sz w:val="24"/>
                      <w:szCs w:val="24"/>
                    </w:rPr>
                    <w:t>146</w:t>
                  </w:r>
                </w:p>
              </w:tc>
            </w:tr>
            <w:tr w:rsidR="00AB5A05" w:rsidTr="00AB5A05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</w:tr>
            <w:tr w:rsidR="00AB5A05" w:rsidTr="00AB5A05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B5A05" w:rsidTr="00AB5A05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B5A05" w:rsidRPr="004A524F" w:rsidRDefault="00AB5A05" w:rsidP="00AB5A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524F">
                    <w:rPr>
                      <w:b/>
                      <w:sz w:val="24"/>
                      <w:szCs w:val="24"/>
                    </w:rPr>
                    <w:t>TURTO VALDYMO SKYRIAUS</w:t>
                  </w:r>
                </w:p>
              </w:tc>
            </w:tr>
            <w:tr w:rsidR="00AB5A05" w:rsidTr="00AB5A05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B5A05" w:rsidRDefault="00AB5A05" w:rsidP="00AB5A0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AB5A05" w:rsidTr="00AB5A05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B5A05" w:rsidRDefault="00AB5A05" w:rsidP="00AB5A0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673403" w:rsidRDefault="00673403"/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  <w:tr w:rsidR="00673403">
        <w:trPr>
          <w:trHeight w:val="349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55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  <w:tr w:rsidR="00AB5A05" w:rsidTr="00AB5A05"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3403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67340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>1. Pareigybės lygmuo – vyriausiasis specialistas (IX lygmuo).</w:t>
                  </w:r>
                </w:p>
              </w:tc>
            </w:tr>
            <w:tr w:rsidR="0067340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673403" w:rsidRDefault="00673403"/>
        </w:tc>
      </w:tr>
      <w:tr w:rsidR="00673403">
        <w:trPr>
          <w:trHeight w:val="120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55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  <w:tr w:rsidR="00AB5A05" w:rsidTr="00AB5A05"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340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7340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7340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7340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673403" w:rsidRDefault="00673403"/>
              </w:tc>
            </w:tr>
            <w:tr w:rsidR="0067340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7340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7340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dokumentų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valdymas.</w:t>
                        </w:r>
                      </w:p>
                    </w:tc>
                  </w:tr>
                </w:tbl>
                <w:p w:rsidR="00673403" w:rsidRDefault="00673403"/>
              </w:tc>
            </w:tr>
          </w:tbl>
          <w:p w:rsidR="00673403" w:rsidRDefault="00673403"/>
        </w:tc>
      </w:tr>
      <w:tr w:rsidR="00673403">
        <w:trPr>
          <w:trHeight w:val="126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55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  <w:tr w:rsidR="00AB5A05" w:rsidTr="00AB5A05"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67340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7340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srities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7340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673403" w:rsidTr="00AB5A05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 w:rsidP="00AB5A05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Paramos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būstui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įsigyti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išsinuomoti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Lietuvos Respublikos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paramos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būstui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įsigyti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išsinuomoti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įstatymo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įgyvendinančiųjų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teisės aktų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nuostatų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673403" w:rsidRDefault="00673403"/>
              </w:tc>
            </w:tr>
            <w:tr w:rsidR="0067340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veiklos srities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7340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673403" w:rsidTr="00AB5A05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 w:rsidP="00AB5A05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Pateiktų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asmenų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šeimų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dokumentų, susijusių su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paramos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teikimu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būstui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įsigyti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išsinuomoti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archyvavimas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duomenų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iš/į valstybės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registrų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kitų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sistemų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duomenų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įvertinimas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sisteminimas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kaupimas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673403" w:rsidRDefault="00673403"/>
              </w:tc>
            </w:tr>
          </w:tbl>
          <w:p w:rsidR="00673403" w:rsidRDefault="00673403"/>
        </w:tc>
      </w:tr>
      <w:tr w:rsidR="00673403">
        <w:trPr>
          <w:trHeight w:val="100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55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  <w:tr w:rsidR="00AB5A05" w:rsidTr="00AB5A05"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340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673403" w:rsidRDefault="00673403"/>
        </w:tc>
      </w:tr>
      <w:tr w:rsidR="00673403">
        <w:trPr>
          <w:trHeight w:val="39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55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  <w:tr w:rsidR="00AB5A05" w:rsidTr="00AB5A05"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6"/>
              <w:gridCol w:w="141"/>
            </w:tblGrid>
            <w:tr w:rsidR="00673403" w:rsidTr="00AB5A05">
              <w:trPr>
                <w:gridAfter w:val="1"/>
                <w:wAfter w:w="141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arba prireikus koordinuoja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3403" w:rsidTr="00AB5A05">
              <w:trPr>
                <w:gridAfter w:val="1"/>
                <w:wAfter w:w="141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673403" w:rsidTr="00AB5A05">
              <w:trPr>
                <w:gridAfter w:val="1"/>
                <w:wAfter w:w="141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Konsultuoja priskirtos srities klausimais.</w:t>
                  </w:r>
                </w:p>
              </w:tc>
            </w:tr>
            <w:tr w:rsidR="00673403" w:rsidTr="00AB5A05">
              <w:trPr>
                <w:gridAfter w:val="1"/>
                <w:wAfter w:w="141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Nagrinėja prašymus ir kitus dokumentus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arba prireikus koordinuoja prašymų ir kitų dokumentų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nagrinėjimą, rengia sprendimus ir atsakymus arba prireikus koordinuoja sprendimų ir atsakymų rengimą.</w:t>
                  </w:r>
                </w:p>
              </w:tc>
            </w:tr>
            <w:tr w:rsidR="00673403" w:rsidTr="00AB5A05">
              <w:trPr>
                <w:gridAfter w:val="1"/>
                <w:wAfter w:w="141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teisės aktų projektus ir kitus susijusius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arba prireikus koordinuoja teisės aktų projektų ir kitų susijusių dokumentų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rengimą.</w:t>
                  </w:r>
                </w:p>
              </w:tc>
            </w:tr>
            <w:tr w:rsidR="00673403" w:rsidTr="00AB5A05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12. Rengia ir teikia informaciją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susijusiais sudėtingais klausimais arba prireikus koordinuoja informacijos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673403" w:rsidTr="00AB5A05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Rengia ir teikia pasiūlymus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</w:tbl>
          <w:p w:rsidR="00673403" w:rsidRDefault="00673403" w:rsidP="00AB5A05">
            <w:pPr>
              <w:jc w:val="both"/>
            </w:pPr>
          </w:p>
        </w:tc>
      </w:tr>
      <w:tr w:rsidR="00673403">
        <w:trPr>
          <w:trHeight w:val="20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 w:rsidP="00AB5A05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673403" w:rsidRDefault="00673403" w:rsidP="00AB5A05">
            <w:pPr>
              <w:pStyle w:val="EmptyLayoutCell"/>
              <w:jc w:val="both"/>
            </w:pPr>
          </w:p>
        </w:tc>
        <w:tc>
          <w:tcPr>
            <w:tcW w:w="9055" w:type="dxa"/>
          </w:tcPr>
          <w:p w:rsidR="00673403" w:rsidRDefault="00673403" w:rsidP="00AB5A05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673403" w:rsidRDefault="00673403" w:rsidP="00AB5A05">
            <w:pPr>
              <w:pStyle w:val="EmptyLayoutCell"/>
              <w:jc w:val="both"/>
            </w:pPr>
          </w:p>
        </w:tc>
      </w:tr>
      <w:tr w:rsidR="00AB5A05" w:rsidTr="00AB5A05"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7"/>
            </w:tblGrid>
            <w:tr w:rsidR="00673403" w:rsidTr="00AB5A05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Teikia duomenis Skyriaus vedėjui,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dėl socialinio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fondo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3403" w:rsidTr="00AB5A05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Nagrinėja asmenų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prašymus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įsigyti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sprendžia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asmenys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įsigyti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ar valstybės iš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kompensuojamų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kreditų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gavėjai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subsidiją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pažymas apie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įsigyti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3403" w:rsidTr="00AB5A05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Nagrinėja asmenų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prašymus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asmenų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sudaro ir tikslina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visus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įsigyti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išsinuomoti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įstatyme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asmenų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tvarko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asmenų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apskaitą.</w:t>
                  </w:r>
                </w:p>
              </w:tc>
            </w:tr>
            <w:tr w:rsidR="00673403" w:rsidTr="00AB5A05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Sprendžia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asmenys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išsinuomoti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vykdo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socialinio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išperkamosios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mokesčio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išperkamosios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mokesčio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kompensacijos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rengia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sprendimų projektus.</w:t>
                  </w:r>
                </w:p>
              </w:tc>
            </w:tr>
            <w:tr w:rsidR="00673403" w:rsidTr="00AB5A05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Rengia pažymas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juridiniams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Skyriaus vedėjui ir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įsigyti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išsinuomoti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reikiamas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skelbia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redaguoja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Skyriaus funkcijomis susijusią informaciją Savivaldybės interneto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svetainėje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73403" w:rsidTr="00AB5A05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 w:rsidP="00AB5A0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Sudaro ir tikslina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fondo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parduodamų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673403" w:rsidRDefault="00673403" w:rsidP="00AB5A05">
            <w:pPr>
              <w:jc w:val="both"/>
            </w:pPr>
          </w:p>
        </w:tc>
      </w:tr>
      <w:tr w:rsidR="00673403">
        <w:trPr>
          <w:trHeight w:val="19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55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  <w:tr w:rsidR="00AB5A05" w:rsidTr="00AB5A05"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340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>20. Vykdo kitus nenuolatinio pobūdžio su struktūrinio padalinio veikla susijusius pavedimus.</w:t>
                  </w:r>
                </w:p>
              </w:tc>
            </w:tr>
          </w:tbl>
          <w:p w:rsidR="00673403" w:rsidRDefault="00673403"/>
        </w:tc>
      </w:tr>
      <w:tr w:rsidR="00673403">
        <w:trPr>
          <w:trHeight w:val="139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55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  <w:tr w:rsidR="00AB5A05" w:rsidTr="00AB5A05"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89"/>
            </w:tblGrid>
            <w:tr w:rsidR="0067340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67340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>21.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73403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89"/>
                  </w:tblGrid>
                  <w:tr w:rsidR="00673403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5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5"/>
                        </w:tblGrid>
                        <w:tr w:rsidR="00673403" w:rsidTr="00AB5A0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73403" w:rsidRDefault="003E49AB" w:rsidP="00AB5A05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673403" w:rsidTr="00AB5A0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73403" w:rsidRDefault="003E49A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673403" w:rsidTr="00AB5A0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73403" w:rsidRDefault="003E49A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statistika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673403" w:rsidTr="00AB5A0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73403" w:rsidRDefault="003E49AB">
                              <w:r>
                                <w:rPr>
                                  <w:color w:val="000000"/>
                                  <w:sz w:val="24"/>
                                </w:rPr>
                                <w:t>21.4. studijų kryptis – viešasis administravimas (arba);</w:t>
                              </w:r>
                            </w:p>
                          </w:tc>
                        </w:tr>
                        <w:tr w:rsidR="00673403" w:rsidTr="00AB5A0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73403" w:rsidRDefault="003E49AB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673403" w:rsidRDefault="00673403"/>
                    </w:tc>
                  </w:tr>
                  <w:tr w:rsidR="00673403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89"/>
                        </w:tblGrid>
                        <w:tr w:rsidR="00673403" w:rsidTr="00AB5A0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73403" w:rsidRDefault="003E49AB" w:rsidP="00AB5A05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21.5.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673403" w:rsidTr="00AB5A0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73403" w:rsidRDefault="003E49A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21.6.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paramos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būstui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įsigyti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išsinuomoti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srities patirtis;</w:t>
                              </w:r>
                            </w:p>
                          </w:tc>
                        </w:tr>
                        <w:tr w:rsidR="00673403" w:rsidTr="00AB5A05">
                          <w:trPr>
                            <w:trHeight w:val="260"/>
                          </w:trPr>
                          <w:tc>
                            <w:tcPr>
                              <w:tcW w:w="9595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73403" w:rsidRDefault="003E49AB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21.7.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ne mažiau kaip 1 metai. </w:t>
                              </w:r>
                            </w:p>
                          </w:tc>
                        </w:tr>
                      </w:tbl>
                      <w:p w:rsidR="00673403" w:rsidRDefault="00673403"/>
                    </w:tc>
                  </w:tr>
                </w:tbl>
                <w:p w:rsidR="00673403" w:rsidRDefault="00673403"/>
              </w:tc>
            </w:tr>
          </w:tbl>
          <w:p w:rsidR="00673403" w:rsidRDefault="00673403"/>
        </w:tc>
      </w:tr>
      <w:tr w:rsidR="00673403">
        <w:trPr>
          <w:trHeight w:val="62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55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  <w:tr w:rsidR="00AB5A05" w:rsidTr="00AB5A05"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7340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673403" w:rsidRDefault="003E49A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67340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>22.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73403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7340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>
                        <w:r>
                          <w:rPr>
                            <w:color w:val="000000"/>
                            <w:sz w:val="24"/>
                          </w:rPr>
                          <w:t>22.1. komunikacija – 4;</w:t>
                        </w:r>
                      </w:p>
                    </w:tc>
                  </w:tr>
                  <w:tr w:rsidR="0067340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>
                        <w:r>
                          <w:rPr>
                            <w:color w:val="000000"/>
                            <w:sz w:val="24"/>
                          </w:rPr>
                          <w:t>22.2. analizė ir pagrindimas – 3;</w:t>
                        </w:r>
                      </w:p>
                    </w:tc>
                  </w:tr>
                  <w:tr w:rsidR="0067340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>
                        <w:r>
                          <w:rPr>
                            <w:color w:val="000000"/>
                            <w:sz w:val="24"/>
                          </w:rPr>
                          <w:t>22.3. patikimumas ir atsakingumas – 3;</w:t>
                        </w:r>
                      </w:p>
                    </w:tc>
                  </w:tr>
                  <w:tr w:rsidR="0067340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>
                        <w:r>
                          <w:rPr>
                            <w:color w:val="000000"/>
                            <w:sz w:val="24"/>
                          </w:rPr>
                          <w:t>22.4. organizuotumas – 3;</w:t>
                        </w:r>
                      </w:p>
                    </w:tc>
                  </w:tr>
                  <w:tr w:rsidR="0067340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>
                        <w:r>
                          <w:rPr>
                            <w:color w:val="000000"/>
                            <w:sz w:val="24"/>
                          </w:rPr>
                          <w:t xml:space="preserve">22.5.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3.</w:t>
                        </w:r>
                      </w:p>
                    </w:tc>
                  </w:tr>
                </w:tbl>
                <w:p w:rsidR="00673403" w:rsidRDefault="00673403"/>
              </w:tc>
            </w:tr>
            <w:tr w:rsidR="0067340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>23.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73403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7340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>23.1. informacijos valdymas – 3;</w:t>
                        </w:r>
                      </w:p>
                    </w:tc>
                  </w:tr>
                  <w:tr w:rsidR="0067340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73403" w:rsidRDefault="003E49AB">
                        <w:r>
                          <w:rPr>
                            <w:color w:val="000000"/>
                            <w:sz w:val="24"/>
                          </w:rPr>
                          <w:t xml:space="preserve">23.2.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įžvalgumas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673403" w:rsidRDefault="00673403"/>
              </w:tc>
            </w:tr>
          </w:tbl>
          <w:p w:rsidR="00673403" w:rsidRDefault="00673403"/>
        </w:tc>
      </w:tr>
      <w:tr w:rsidR="00673403">
        <w:trPr>
          <w:trHeight w:val="517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55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  <w:tr w:rsidR="00AB5A05" w:rsidTr="00AB5A05"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67340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</w:tr>
            <w:tr w:rsidR="0067340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</w:tr>
            <w:tr w:rsidR="0067340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</w:tr>
            <w:tr w:rsidR="0067340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</w:tr>
            <w:tr w:rsidR="0067340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</w:tr>
            <w:tr w:rsidR="0067340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</w:tr>
            <w:tr w:rsidR="0067340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3E49AB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</w:tr>
            <w:tr w:rsidR="0067340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73403" w:rsidRDefault="00673403"/>
              </w:tc>
            </w:tr>
          </w:tbl>
          <w:p w:rsidR="00673403" w:rsidRDefault="00673403"/>
        </w:tc>
      </w:tr>
      <w:tr w:rsidR="00673403">
        <w:trPr>
          <w:trHeight w:val="41"/>
        </w:trPr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9055" w:type="dxa"/>
          </w:tcPr>
          <w:p w:rsidR="00673403" w:rsidRDefault="00673403">
            <w:pPr>
              <w:pStyle w:val="EmptyLayoutCell"/>
            </w:pPr>
          </w:p>
        </w:tc>
        <w:tc>
          <w:tcPr>
            <w:tcW w:w="13" w:type="dxa"/>
          </w:tcPr>
          <w:p w:rsidR="00673403" w:rsidRDefault="00673403">
            <w:pPr>
              <w:pStyle w:val="EmptyLayoutCell"/>
            </w:pPr>
          </w:p>
        </w:tc>
      </w:tr>
    </w:tbl>
    <w:p w:rsidR="003E49AB" w:rsidRDefault="003E49AB"/>
    <w:sectPr w:rsidR="003E49AB" w:rsidSect="00AB5A05">
      <w:pgSz w:w="11905" w:h="16837"/>
      <w:pgMar w:top="851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05"/>
    <w:rsid w:val="003E49AB"/>
    <w:rsid w:val="00673403"/>
    <w:rsid w:val="00AB5A05"/>
    <w:rsid w:val="00E1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77D9-3719-4A24-BB7A-8975D916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3229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3</cp:revision>
  <dcterms:created xsi:type="dcterms:W3CDTF">2021-02-04T18:44:00Z</dcterms:created>
  <dcterms:modified xsi:type="dcterms:W3CDTF">2021-02-11T11:34:00Z</dcterms:modified>
</cp:coreProperties>
</file>