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4D2653" w:rsidTr="004D2653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265"/>
              <w:gridCol w:w="283"/>
            </w:tblGrid>
            <w:tr w:rsidR="004D2653" w:rsidTr="004D2653">
              <w:trPr>
                <w:gridAfter w:val="1"/>
                <w:wAfter w:w="283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  <w:tc>
                <w:tcPr>
                  <w:tcW w:w="426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D2653" w:rsidTr="004D26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2653" w:rsidRDefault="004D2653" w:rsidP="004D2653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2653" w:rsidRDefault="004D2653" w:rsidP="004D2653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D2653" w:rsidTr="004D26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2653" w:rsidRDefault="004D2653" w:rsidP="004D2653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2653" w:rsidRPr="004E5EDE" w:rsidRDefault="004D2653" w:rsidP="00227833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227833">
                    <w:rPr>
                      <w:sz w:val="24"/>
                      <w:szCs w:val="24"/>
                    </w:rPr>
                    <w:t xml:space="preserve">17 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4D2653" w:rsidTr="004D26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2653" w:rsidRDefault="004D2653" w:rsidP="004D2653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2653" w:rsidRPr="004E5EDE" w:rsidRDefault="004D2653" w:rsidP="00227833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="00227833">
                    <w:rPr>
                      <w:color w:val="000000"/>
                      <w:sz w:val="24"/>
                    </w:rPr>
                    <w:t>–</w:t>
                  </w:r>
                  <w:r w:rsidR="00227833">
                    <w:rPr>
                      <w:color w:val="000000"/>
                      <w:sz w:val="24"/>
                      <w:szCs w:val="24"/>
                    </w:rPr>
                    <w:t>522</w:t>
                  </w:r>
                </w:p>
              </w:tc>
            </w:tr>
            <w:tr w:rsidR="004D2653" w:rsidTr="004D2653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4D2653" w:rsidTr="004D2653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D2653" w:rsidTr="004D2653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</w:p>
              </w:tc>
            </w:tr>
            <w:tr w:rsidR="004D2653" w:rsidTr="004D2653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INFORMACINIŲ TECHNOLOGIJŲ POSKYRIO</w:t>
                  </w:r>
                  <w:r w:rsidR="004D2653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4D2653" w:rsidTr="004D2653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7045D0" w:rsidRDefault="007045D0"/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7045D0">
        <w:trPr>
          <w:trHeight w:val="349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45D0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1. Pareigybės lygmuo – VII pareigybės lygmuo.</w:t>
                  </w:r>
                </w:p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7045D0" w:rsidRDefault="007045D0"/>
        </w:tc>
      </w:tr>
      <w:tr w:rsidR="007045D0">
        <w:trPr>
          <w:trHeight w:val="120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45D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45D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7045D0" w:rsidRDefault="007045D0"/>
              </w:tc>
            </w:tr>
          </w:tbl>
          <w:p w:rsidR="007045D0" w:rsidRDefault="007045D0"/>
        </w:tc>
      </w:tr>
      <w:tr w:rsidR="007045D0">
        <w:trPr>
          <w:trHeight w:val="126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45D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45D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6. Informacijos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apdorojimas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diegimas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8. Poskyrio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:rsidR="007045D0" w:rsidRDefault="007045D0"/>
              </w:tc>
            </w:tr>
          </w:tbl>
          <w:p w:rsidR="007045D0" w:rsidRDefault="007045D0"/>
        </w:tc>
      </w:tr>
      <w:tr w:rsidR="007045D0">
        <w:trPr>
          <w:trHeight w:val="100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45D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7045D0" w:rsidRDefault="007045D0"/>
        </w:tc>
      </w:tr>
      <w:tr w:rsidR="007045D0">
        <w:trPr>
          <w:trHeight w:val="39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vadovo pavedimu atstovauja įstaigai santykiuose su kitomis įstaigomis, organizacijomis bei fiziniais asmenimis.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Vadovauja struktūrinio padalinio veiklos vykdymui aktualios informacijos apdorojimui arba prireikus apdoroja struktūrinio padalinio veiklos vykdymui aktualią informaciją.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7045D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7045D0" w:rsidRDefault="007045D0"/>
        </w:tc>
      </w:tr>
      <w:tr w:rsidR="007045D0">
        <w:trPr>
          <w:trHeight w:val="20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045D0" w:rsidTr="004D26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modernizavimą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kompiuterizuotų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racionalų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pasiūlymus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kompiuterinės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įsigijimą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kompiuterinės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nepertraukiamą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kompiuterių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funkcionavimą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rengimą, kontroliuoja sutarčių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susitarimų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poskyris</w:t>
                  </w:r>
                  <w:proofErr w:type="spellEnd"/>
                  <w:r>
                    <w:rPr>
                      <w:color w:val="000000"/>
                      <w:sz w:val="24"/>
                    </w:rPr>
                    <w:t>, vykdymą.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kūrimą,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vystymo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dokumentų rengimą arba prireikus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vystymo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kitus dokumentus.</w:t>
                  </w:r>
                </w:p>
              </w:tc>
            </w:tr>
            <w:tr w:rsidR="007045D0" w:rsidTr="004D26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 w:rsidP="004D26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 arba prireikus apdoroja susijusią informaciją.</w:t>
                  </w:r>
                </w:p>
              </w:tc>
            </w:tr>
          </w:tbl>
          <w:p w:rsidR="007045D0" w:rsidRDefault="007045D0"/>
        </w:tc>
      </w:tr>
      <w:tr w:rsidR="007045D0">
        <w:trPr>
          <w:trHeight w:val="19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7045D0" w:rsidRDefault="007045D0"/>
        </w:tc>
      </w:tr>
      <w:tr w:rsidR="007045D0">
        <w:trPr>
          <w:trHeight w:val="139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7045D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25.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045D0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7045D0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7045D0" w:rsidTr="004D265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 w:rsidP="004D265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045D0" w:rsidTr="004D265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045D0" w:rsidTr="004D265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045D0" w:rsidTr="004D265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programų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sistemos (arba);</w:t>
                              </w:r>
                            </w:p>
                          </w:tc>
                        </w:tr>
                        <w:tr w:rsidR="007045D0" w:rsidTr="004D265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045D0" w:rsidRDefault="007045D0"/>
                    </w:tc>
                  </w:tr>
                  <w:tr w:rsidR="007045D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2"/>
                        </w:tblGrid>
                        <w:tr w:rsidR="007045D0" w:rsidTr="004D265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 w:rsidP="004D265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045D0">
                          <w:trPr>
                            <w:gridAfter w:val="1"/>
                            <w:wAfter w:w="242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25.6.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technologijų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sistemų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kūrimo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diegimo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7045D0">
                          <w:trPr>
                            <w:gridAfter w:val="1"/>
                            <w:wAfter w:w="242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045D0" w:rsidRDefault="0097184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3 metai. </w:t>
                              </w:r>
                            </w:p>
                          </w:tc>
                        </w:tr>
                      </w:tbl>
                      <w:p w:rsidR="007045D0" w:rsidRDefault="007045D0"/>
                    </w:tc>
                  </w:tr>
                </w:tbl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045D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7045D0" w:rsidTr="004D2653">
                    <w:trPr>
                      <w:trHeight w:val="260"/>
                    </w:trPr>
                    <w:tc>
                      <w:tcPr>
                        <w:tcW w:w="931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 w:rsidP="004D2653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orientuotos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architektūros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SOA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angl.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Service oriented architecture) projektų valdymo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principus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7045D0" w:rsidTr="004D2653">
                    <w:trPr>
                      <w:trHeight w:val="260"/>
                    </w:trPr>
                    <w:tc>
                      <w:tcPr>
                        <w:tcW w:w="931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 w:rsidP="004D2653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IT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infrastruktūros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geriausių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praktikų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biblioteką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(ITIL), IT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infrastruktūros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045D0" w:rsidRDefault="007045D0"/>
              </w:tc>
            </w:tr>
          </w:tbl>
          <w:p w:rsidR="007045D0" w:rsidRDefault="007045D0"/>
        </w:tc>
      </w:tr>
      <w:tr w:rsidR="007045D0">
        <w:trPr>
          <w:trHeight w:val="62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45D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7045D0" w:rsidRDefault="009718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27.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045D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27.1. vertės visuomenei kūrimas – 4;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27.2. organizuotumas – 4;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27.3. patikimumas ir atsakingumas – 4;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27.4. analizė ir pagrindimas – 5;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27.5.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lastRenderedPageBreak/>
                    <w:t>28.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045D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28.1. strateginis požiūris – 3;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28.2. veiklos valdymas – 3;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28.3.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lyderystė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29.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045D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>29.1. informacijos valdymas – 4;</w:t>
                        </w:r>
                      </w:p>
                    </w:tc>
                  </w:tr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29.2.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5.</w:t>
                        </w:r>
                      </w:p>
                    </w:tc>
                  </w:tr>
                </w:tbl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30.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045D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45D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045D0" w:rsidRDefault="00971847">
                        <w:r>
                          <w:rPr>
                            <w:color w:val="000000"/>
                            <w:sz w:val="24"/>
                          </w:rPr>
                          <w:t xml:space="preserve">30.1.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5.</w:t>
                        </w:r>
                      </w:p>
                    </w:tc>
                  </w:tr>
                </w:tbl>
                <w:p w:rsidR="007045D0" w:rsidRDefault="007045D0"/>
              </w:tc>
            </w:tr>
          </w:tbl>
          <w:p w:rsidR="007045D0" w:rsidRDefault="007045D0"/>
        </w:tc>
      </w:tr>
      <w:tr w:rsidR="007045D0">
        <w:trPr>
          <w:trHeight w:val="517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  <w:tr w:rsidR="004D2653" w:rsidTr="004D2653"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045D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97184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  <w:tr w:rsidR="007045D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45D0" w:rsidRDefault="007045D0"/>
              </w:tc>
            </w:tr>
          </w:tbl>
          <w:p w:rsidR="007045D0" w:rsidRDefault="007045D0"/>
        </w:tc>
      </w:tr>
      <w:tr w:rsidR="007045D0">
        <w:trPr>
          <w:trHeight w:val="41"/>
        </w:trPr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9055" w:type="dxa"/>
          </w:tcPr>
          <w:p w:rsidR="007045D0" w:rsidRDefault="007045D0">
            <w:pPr>
              <w:pStyle w:val="EmptyLayoutCell"/>
            </w:pPr>
          </w:p>
        </w:tc>
        <w:tc>
          <w:tcPr>
            <w:tcW w:w="13" w:type="dxa"/>
          </w:tcPr>
          <w:p w:rsidR="007045D0" w:rsidRDefault="007045D0">
            <w:pPr>
              <w:pStyle w:val="EmptyLayoutCell"/>
            </w:pPr>
          </w:p>
        </w:tc>
      </w:tr>
    </w:tbl>
    <w:p w:rsidR="00971847" w:rsidRDefault="00971847"/>
    <w:sectPr w:rsidR="00971847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53"/>
    <w:rsid w:val="000D4E85"/>
    <w:rsid w:val="00227833"/>
    <w:rsid w:val="004D2653"/>
    <w:rsid w:val="007045D0"/>
    <w:rsid w:val="009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7423-49A5-48D8-8141-5AC3F80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3244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2021-03-16T18:28:00Z</dcterms:created>
  <dcterms:modified xsi:type="dcterms:W3CDTF">2021-03-17T15:58:00Z</dcterms:modified>
</cp:coreProperties>
</file>