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DB62D5" w:rsidRDefault="00DB62D5" w:rsidP="00DB62D5">
      <w:pPr>
        <w:pStyle w:val="prastasiniatinklio"/>
        <w:pageBreakBefore/>
        <w:spacing w:before="0" w:beforeAutospacing="0" w:after="0"/>
        <w:ind w:left="4511" w:firstLine="1250"/>
      </w:pPr>
      <w:bookmarkStart w:id="0" w:name="_GoBack"/>
      <w:bookmarkEnd w:id="0"/>
      <w:r>
        <w:rPr>
          <w:color w:val="000000"/>
        </w:rPr>
        <w:t>PATVIRTINTA</w:t>
      </w:r>
    </w:p>
    <w:p w:rsidR="00DB62D5" w:rsidRDefault="00DB62D5" w:rsidP="00DB62D5">
      <w:pPr>
        <w:pStyle w:val="prastasiniatinklio"/>
        <w:spacing w:before="0" w:beforeAutospacing="0" w:after="0"/>
        <w:ind w:left="5761"/>
      </w:pPr>
      <w:r>
        <w:rPr>
          <w:color w:val="000000"/>
        </w:rPr>
        <w:t xml:space="preserve">Šiaulių miesto savivaldybės administracijos direktoriaus </w:t>
      </w:r>
    </w:p>
    <w:p w:rsidR="00DB62D5" w:rsidRDefault="00DB62D5" w:rsidP="00DB62D5">
      <w:pPr>
        <w:pStyle w:val="prastasiniatinklio"/>
        <w:spacing w:before="0" w:beforeAutospacing="0" w:after="0"/>
        <w:ind w:left="5761"/>
        <w:rPr>
          <w:rStyle w:val="Emfaz"/>
          <w:i w:val="0"/>
          <w:iCs w:val="0"/>
          <w:color w:val="000000"/>
        </w:rPr>
      </w:pPr>
      <w:r>
        <w:rPr>
          <w:color w:val="000000"/>
        </w:rPr>
        <w:t>20</w:t>
      </w:r>
      <w:r>
        <w:rPr>
          <w:color w:val="000000"/>
          <w:lang w:val="en-US"/>
        </w:rPr>
        <w:t>19</w:t>
      </w:r>
      <w:r>
        <w:rPr>
          <w:color w:val="000000"/>
        </w:rPr>
        <w:t xml:space="preserve"> m. sausio 4 d.</w:t>
      </w:r>
      <w:r>
        <w:rPr>
          <w:rStyle w:val="Emfaz"/>
          <w:i w:val="0"/>
          <w:iCs w:val="0"/>
          <w:color w:val="000000"/>
        </w:rPr>
        <w:t xml:space="preserve"> </w:t>
      </w:r>
    </w:p>
    <w:p w:rsidR="001F15EA" w:rsidRDefault="00DB62D5" w:rsidP="00DB62D5">
      <w:pPr>
        <w:widowControl/>
        <w:suppressAutoHyphens w:val="0"/>
        <w:ind w:left="4511" w:firstLine="1250"/>
        <w:rPr>
          <w:rStyle w:val="Emfaz"/>
          <w:i w:val="0"/>
          <w:iCs w:val="0"/>
        </w:rPr>
      </w:pPr>
      <w:r>
        <w:rPr>
          <w:rStyle w:val="Emfaz"/>
          <w:i w:val="0"/>
          <w:iCs w:val="0"/>
        </w:rPr>
        <w:t>įsakymu Nr. A-10</w:t>
      </w:r>
    </w:p>
    <w:p w:rsidR="00DB62D5" w:rsidRDefault="00DB62D5" w:rsidP="00DB62D5">
      <w:pPr>
        <w:widowControl/>
        <w:suppressAutoHyphens w:val="0"/>
        <w:ind w:left="4511" w:firstLine="1250"/>
        <w:rPr>
          <w:rStyle w:val="Emfaz"/>
          <w:i w:val="0"/>
          <w:iCs w:val="0"/>
        </w:rPr>
      </w:pPr>
    </w:p>
    <w:p w:rsidR="00DB62D5" w:rsidRDefault="00DB62D5" w:rsidP="00DB62D5">
      <w:pPr>
        <w:widowControl/>
        <w:suppressAutoHyphens w:val="0"/>
        <w:ind w:left="4511" w:firstLine="1250"/>
      </w:pPr>
    </w:p>
    <w:p w:rsidR="001F15EA" w:rsidRDefault="001F15EA" w:rsidP="001F15EA">
      <w:pPr>
        <w:pStyle w:val="prastasiniatinklio"/>
        <w:spacing w:before="0" w:beforeAutospacing="0" w:after="0"/>
        <w:jc w:val="center"/>
      </w:pPr>
      <w:r w:rsidRPr="00CC3D20">
        <w:rPr>
          <w:b/>
        </w:rPr>
        <w:t>ŠIAULIŲ MIESTO</w:t>
      </w:r>
      <w:r>
        <w:t xml:space="preserve"> </w:t>
      </w:r>
      <w:r>
        <w:rPr>
          <w:b/>
          <w:bCs/>
          <w:color w:val="000000"/>
        </w:rPr>
        <w:t>KULTŪROS EKSPERTŲ KOMISIJOS VEIKLOS NUOSTATAI</w:t>
      </w:r>
    </w:p>
    <w:p w:rsidR="001F15EA" w:rsidRDefault="001F15EA" w:rsidP="001F15EA">
      <w:pPr>
        <w:pStyle w:val="prastasiniatinklio"/>
        <w:spacing w:before="0" w:beforeAutospacing="0" w:after="0"/>
        <w:jc w:val="center"/>
        <w:rPr>
          <w:rStyle w:val="Grietas"/>
          <w:color w:val="000000"/>
        </w:rPr>
      </w:pPr>
    </w:p>
    <w:p w:rsidR="001B348D" w:rsidRDefault="001B348D" w:rsidP="00AE32D2">
      <w:pPr>
        <w:pStyle w:val="prastasiniatinklio"/>
        <w:spacing w:before="0" w:beforeAutospacing="0" w:after="0"/>
        <w:rPr>
          <w:rStyle w:val="Grietas"/>
          <w:color w:val="000000"/>
        </w:rPr>
      </w:pPr>
    </w:p>
    <w:p w:rsidR="001B348D" w:rsidRDefault="001B348D" w:rsidP="00D604E9">
      <w:pPr>
        <w:pStyle w:val="prastasiniatinklio"/>
        <w:spacing w:before="0" w:beforeAutospacing="0" w:after="0"/>
        <w:jc w:val="center"/>
        <w:rPr>
          <w:rStyle w:val="Grietas"/>
          <w:color w:val="000000"/>
        </w:rPr>
      </w:pPr>
      <w:r>
        <w:rPr>
          <w:b/>
          <w:bCs/>
          <w:color w:val="000000"/>
        </w:rPr>
        <w:t>I SKYRIUS</w:t>
      </w:r>
    </w:p>
    <w:p w:rsidR="001F15EA" w:rsidRDefault="001F15EA" w:rsidP="00D604E9">
      <w:pPr>
        <w:pStyle w:val="prastasiniatinklio"/>
        <w:spacing w:before="0" w:beforeAutospacing="0" w:after="0"/>
        <w:jc w:val="center"/>
      </w:pPr>
      <w:r>
        <w:rPr>
          <w:rStyle w:val="Grietas"/>
          <w:color w:val="000000"/>
        </w:rPr>
        <w:t>BENDROSIOS NUOSTATOS</w:t>
      </w:r>
    </w:p>
    <w:p w:rsidR="001F15EA" w:rsidRDefault="001F15EA" w:rsidP="001F15EA">
      <w:pPr>
        <w:ind w:firstLine="709"/>
        <w:jc w:val="both"/>
      </w:pP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</w:pPr>
      <w:r>
        <w:rPr>
          <w:color w:val="000000"/>
        </w:rPr>
        <w:t xml:space="preserve">1. Šiaulių miesto kultūros ekspertų komisijos nuostatai </w:t>
      </w:r>
      <w:r w:rsidR="007242B0">
        <w:rPr>
          <w:color w:val="000000"/>
        </w:rPr>
        <w:t xml:space="preserve">(toliau – Nuostatai) </w:t>
      </w:r>
      <w:r>
        <w:rPr>
          <w:color w:val="000000"/>
        </w:rPr>
        <w:t xml:space="preserve">reglamentuoja </w:t>
      </w:r>
      <w:r w:rsidR="00384E94" w:rsidRPr="00483BF2">
        <w:rPr>
          <w:color w:val="000000"/>
        </w:rPr>
        <w:t>Šiaulių miesto kultūros ekspertų komisijos (toliau – Komisija)</w:t>
      </w:r>
      <w:r w:rsidR="00384E94">
        <w:rPr>
          <w:color w:val="000000"/>
        </w:rPr>
        <w:t xml:space="preserve"> </w:t>
      </w:r>
      <w:r>
        <w:rPr>
          <w:color w:val="000000"/>
        </w:rPr>
        <w:t>uždavinius, funkcijas, teises, pareigas, sudėtį ir darbo organizavimą.</w:t>
      </w: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  <w:rPr>
          <w:lang w:val="en-US"/>
        </w:rPr>
      </w:pPr>
      <w:r>
        <w:rPr>
          <w:color w:val="000000"/>
        </w:rPr>
        <w:t>2. Komisija yra patariamoji institucija, atliekanti eksperto ir konsultanto funkcijas.</w:t>
      </w: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</w:pPr>
      <w:r>
        <w:rPr>
          <w:color w:val="000000"/>
        </w:rPr>
        <w:t xml:space="preserve">3. Komisija </w:t>
      </w:r>
      <w:r>
        <w:t xml:space="preserve">savo veikloje vadovaujasi Lietuvos Respublikos Konstitucija, Lietuvos Respublikos įstatymais, Lietuvos Respublikos Vyriausybės nutarimais, Lietuvos Respublikos kultūros ministro įsakymais, Šiaulių miesto savivaldybės (toliau – Savivaldybė) tarybos sprendimais, kitais teisės aktais ir </w:t>
      </w:r>
      <w:r w:rsidR="00384E94" w:rsidRPr="00483BF2">
        <w:rPr>
          <w:color w:val="000000"/>
        </w:rPr>
        <w:t>N</w:t>
      </w:r>
      <w:r w:rsidRPr="00483BF2">
        <w:rPr>
          <w:color w:val="000000"/>
        </w:rPr>
        <w:t>uostatais</w:t>
      </w:r>
      <w:r>
        <w:rPr>
          <w:color w:val="000000"/>
        </w:rPr>
        <w:t>.</w:t>
      </w: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</w:pPr>
      <w:r>
        <w:rPr>
          <w:color w:val="000000"/>
        </w:rPr>
        <w:t>4. Komisijos išvados yra rekomendacinio pobūdžio.</w:t>
      </w: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  <w:rPr>
          <w:color w:val="000000"/>
        </w:rPr>
      </w:pPr>
      <w:r>
        <w:rPr>
          <w:color w:val="000000"/>
          <w:lang w:val="en-US"/>
        </w:rPr>
        <w:t>5</w:t>
      </w:r>
      <w:r w:rsidRPr="008E74C2">
        <w:rPr>
          <w:color w:val="000000"/>
        </w:rPr>
        <w:t xml:space="preserve">. Komisiją steigia ir </w:t>
      </w:r>
      <w:r w:rsidRPr="00483BF2">
        <w:rPr>
          <w:color w:val="000000"/>
        </w:rPr>
        <w:t xml:space="preserve">jos </w:t>
      </w:r>
      <w:r w:rsidR="00384E94" w:rsidRPr="00483BF2">
        <w:rPr>
          <w:color w:val="000000"/>
        </w:rPr>
        <w:t>N</w:t>
      </w:r>
      <w:r w:rsidRPr="00483BF2">
        <w:rPr>
          <w:color w:val="000000"/>
        </w:rPr>
        <w:t>uostatus</w:t>
      </w:r>
      <w:r w:rsidR="00384E94" w:rsidRPr="00483BF2">
        <w:rPr>
          <w:color w:val="000000"/>
        </w:rPr>
        <w:t>,</w:t>
      </w:r>
      <w:r w:rsidRPr="00483BF2">
        <w:rPr>
          <w:color w:val="000000"/>
        </w:rPr>
        <w:t xml:space="preserve"> personalinę</w:t>
      </w:r>
      <w:r>
        <w:rPr>
          <w:color w:val="000000"/>
        </w:rPr>
        <w:t xml:space="preserve"> sudėtį tvirtina Savivaldybės administracijos direktorius. </w:t>
      </w:r>
    </w:p>
    <w:p w:rsidR="001F15EA" w:rsidRDefault="001F15EA" w:rsidP="001F15EA">
      <w:pPr>
        <w:pStyle w:val="prastasiniatinklio"/>
        <w:spacing w:before="0" w:beforeAutospacing="0" w:after="0"/>
        <w:ind w:firstLine="1250"/>
        <w:jc w:val="both"/>
      </w:pPr>
      <w:r>
        <w:t xml:space="preserve">6. Komisija </w:t>
      </w:r>
      <w:r w:rsidR="00C73FFA">
        <w:t xml:space="preserve">veiklą vykdo </w:t>
      </w:r>
      <w:r w:rsidR="007242B0">
        <w:t>S</w:t>
      </w:r>
      <w:r w:rsidRPr="00483BF2">
        <w:rPr>
          <w:color w:val="000000"/>
        </w:rPr>
        <w:t xml:space="preserve">avivaldybės administracijos </w:t>
      </w:r>
      <w:r w:rsidR="007242B0">
        <w:t>patalpose</w:t>
      </w:r>
      <w:r w:rsidR="00C73FFA">
        <w:t xml:space="preserve"> adresu: Vasario 16-osios g. 62, LT-76295 Šiauliai.</w:t>
      </w:r>
      <w:r>
        <w:tab/>
      </w:r>
    </w:p>
    <w:p w:rsidR="001F15EA" w:rsidRDefault="001F15EA" w:rsidP="001F15EA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</w:p>
    <w:p w:rsidR="001B348D" w:rsidRDefault="00341B9B" w:rsidP="00B349BF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1F15EA">
        <w:rPr>
          <w:b/>
          <w:bCs/>
          <w:color w:val="000000"/>
        </w:rPr>
        <w:t xml:space="preserve"> </w:t>
      </w:r>
      <w:r w:rsidR="001B348D">
        <w:rPr>
          <w:b/>
          <w:bCs/>
          <w:color w:val="000000"/>
        </w:rPr>
        <w:t>SKYRIUS</w:t>
      </w:r>
    </w:p>
    <w:p w:rsidR="001F15EA" w:rsidRDefault="001F15EA" w:rsidP="001F15EA">
      <w:pPr>
        <w:pStyle w:val="prastasiniatinklio"/>
        <w:spacing w:before="0" w:beforeAutospacing="0" w:after="0"/>
        <w:jc w:val="center"/>
      </w:pPr>
      <w:r>
        <w:rPr>
          <w:b/>
          <w:bCs/>
          <w:color w:val="000000"/>
        </w:rPr>
        <w:t>KOMISIJOS UŽDAVINYS IR FUNKCIJOS</w:t>
      </w:r>
    </w:p>
    <w:p w:rsidR="001F15EA" w:rsidRDefault="001F15EA" w:rsidP="001F15EA">
      <w:pPr>
        <w:pStyle w:val="prastasiniatinklio"/>
        <w:spacing w:before="0" w:beforeAutospacing="0" w:after="0"/>
        <w:ind w:firstLine="312"/>
        <w:jc w:val="both"/>
      </w:pPr>
    </w:p>
    <w:p w:rsidR="001F15EA" w:rsidRPr="008E74C2" w:rsidRDefault="001F15EA" w:rsidP="001F15EA">
      <w:pPr>
        <w:pStyle w:val="prastasiniatinklio"/>
        <w:spacing w:before="0" w:beforeAutospacing="0" w:after="0"/>
        <w:ind w:firstLine="1250"/>
        <w:jc w:val="both"/>
      </w:pPr>
      <w:r>
        <w:rPr>
          <w:color w:val="000000"/>
          <w:lang w:val="en-US"/>
        </w:rPr>
        <w:t>7</w:t>
      </w:r>
      <w:r>
        <w:rPr>
          <w:color w:val="000000"/>
        </w:rPr>
        <w:t xml:space="preserve">. Komisijos uždavinys – teikti </w:t>
      </w:r>
      <w:r w:rsidRPr="008E74C2">
        <w:rPr>
          <w:color w:val="000000"/>
        </w:rPr>
        <w:t xml:space="preserve">išvadas dėl siūlomų finansuoti kultūros projektų iš </w:t>
      </w:r>
      <w:r w:rsidRPr="008E74C2">
        <w:t xml:space="preserve">Savivaldybės strateginio plano </w:t>
      </w:r>
      <w:r w:rsidRPr="008E74C2">
        <w:rPr>
          <w:color w:val="000000"/>
        </w:rPr>
        <w:t>Kultūros plėtros programos lėšų.</w:t>
      </w:r>
    </w:p>
    <w:p w:rsidR="001F15EA" w:rsidRPr="00B349BF" w:rsidRDefault="001F15EA" w:rsidP="00B349BF">
      <w:pPr>
        <w:pStyle w:val="prastasiniatinklio"/>
        <w:spacing w:before="0" w:beforeAutospacing="0" w:after="0"/>
        <w:ind w:firstLine="1250"/>
        <w:jc w:val="both"/>
      </w:pPr>
      <w:r w:rsidRPr="008E74C2">
        <w:rPr>
          <w:color w:val="000000"/>
        </w:rPr>
        <w:t>8</w:t>
      </w:r>
      <w:r w:rsidRPr="00D604E9">
        <w:rPr>
          <w:color w:val="000000"/>
        </w:rPr>
        <w:t xml:space="preserve">. Komisija atlieka </w:t>
      </w:r>
      <w:r w:rsidR="00433E72" w:rsidRPr="00D604E9">
        <w:rPr>
          <w:color w:val="000000"/>
        </w:rPr>
        <w:t xml:space="preserve">paraiškų ekspertinį </w:t>
      </w:r>
      <w:r w:rsidRPr="00D604E9">
        <w:rPr>
          <w:color w:val="000000"/>
        </w:rPr>
        <w:t>vertin</w:t>
      </w:r>
      <w:r w:rsidR="00433E72" w:rsidRPr="00D604E9">
        <w:rPr>
          <w:color w:val="000000"/>
        </w:rPr>
        <w:t>imą</w:t>
      </w:r>
      <w:r w:rsidR="0090078D" w:rsidRPr="00D604E9">
        <w:rPr>
          <w:color w:val="000000"/>
        </w:rPr>
        <w:t xml:space="preserve"> ir</w:t>
      </w:r>
      <w:r w:rsidRPr="00D604E9">
        <w:rPr>
          <w:color w:val="000000"/>
        </w:rPr>
        <w:t xml:space="preserve"> teikia išvadas</w:t>
      </w:r>
      <w:r w:rsidRPr="00483BF2">
        <w:rPr>
          <w:color w:val="000000"/>
        </w:rPr>
        <w:t xml:space="preserve"> Kultūros skyriui dėl lėšų skyrimo kultūros projektams.</w:t>
      </w:r>
    </w:p>
    <w:p w:rsidR="001F15EA" w:rsidRPr="00483BF2" w:rsidRDefault="001F15EA" w:rsidP="001F15EA">
      <w:pPr>
        <w:ind w:firstLine="709"/>
        <w:jc w:val="both"/>
      </w:pPr>
    </w:p>
    <w:p w:rsidR="001B348D" w:rsidRPr="00483BF2" w:rsidRDefault="00341B9B" w:rsidP="00D604E9">
      <w:pPr>
        <w:jc w:val="center"/>
        <w:rPr>
          <w:b/>
          <w:bCs/>
        </w:rPr>
      </w:pPr>
      <w:r w:rsidRPr="00483BF2">
        <w:rPr>
          <w:b/>
          <w:bCs/>
        </w:rPr>
        <w:t>III</w:t>
      </w:r>
      <w:r w:rsidR="001F15EA" w:rsidRPr="00483BF2">
        <w:rPr>
          <w:b/>
          <w:bCs/>
        </w:rPr>
        <w:t xml:space="preserve"> </w:t>
      </w:r>
      <w:r w:rsidR="001B348D" w:rsidRPr="00483BF2">
        <w:rPr>
          <w:b/>
          <w:bCs/>
        </w:rPr>
        <w:t>SKYRIUS</w:t>
      </w:r>
    </w:p>
    <w:p w:rsidR="001F15EA" w:rsidRPr="00483BF2" w:rsidRDefault="001F15EA" w:rsidP="00D604E9">
      <w:pPr>
        <w:jc w:val="center"/>
      </w:pPr>
      <w:r w:rsidRPr="00483BF2">
        <w:rPr>
          <w:b/>
          <w:bCs/>
        </w:rPr>
        <w:t>KOMISIJOS TEISĖS IR PAREIGOS</w:t>
      </w:r>
    </w:p>
    <w:p w:rsidR="001F15EA" w:rsidRPr="00483BF2" w:rsidRDefault="001F15EA" w:rsidP="001F15EA">
      <w:pPr>
        <w:pStyle w:val="prastasiniatinklio"/>
        <w:spacing w:before="0" w:beforeAutospacing="0" w:after="0"/>
        <w:ind w:firstLine="312"/>
        <w:jc w:val="both"/>
      </w:pPr>
    </w:p>
    <w:p w:rsidR="001F15EA" w:rsidRPr="00705F23" w:rsidRDefault="001F15EA" w:rsidP="001F15EA">
      <w:pPr>
        <w:pStyle w:val="prastasiniatinklio"/>
        <w:spacing w:before="0" w:beforeAutospacing="0" w:after="0"/>
        <w:ind w:firstLine="1276"/>
        <w:jc w:val="both"/>
        <w:rPr>
          <w:color w:val="000000"/>
        </w:rPr>
      </w:pPr>
      <w:r w:rsidRPr="00B349BF">
        <w:rPr>
          <w:color w:val="000000"/>
          <w:lang w:val="en-US"/>
        </w:rPr>
        <w:t>9</w:t>
      </w:r>
      <w:r w:rsidR="007F5D41" w:rsidRPr="00B349BF">
        <w:rPr>
          <w:color w:val="000000"/>
        </w:rPr>
        <w:t>.</w:t>
      </w:r>
      <w:r w:rsidR="00B349BF" w:rsidRPr="00B349BF">
        <w:rPr>
          <w:color w:val="000000"/>
        </w:rPr>
        <w:t xml:space="preserve"> </w:t>
      </w:r>
      <w:r w:rsidR="00705F23">
        <w:rPr>
          <w:color w:val="000000"/>
        </w:rPr>
        <w:t>Komisijos nariai paraiškas vertina individualiai elektroniniu būdu užpildydami Ekspertinio vertinimo lapą.</w:t>
      </w:r>
    </w:p>
    <w:p w:rsidR="001F15EA" w:rsidRDefault="001F15EA" w:rsidP="001F15EA">
      <w:pPr>
        <w:pStyle w:val="prastasiniatinklio"/>
        <w:spacing w:before="0" w:beforeAutospacing="0" w:after="0"/>
        <w:ind w:firstLine="1276"/>
        <w:jc w:val="both"/>
        <w:rPr>
          <w:lang w:val="en-US"/>
        </w:rPr>
      </w:pPr>
      <w:r>
        <w:rPr>
          <w:rStyle w:val="Grietas"/>
          <w:b w:val="0"/>
          <w:bCs w:val="0"/>
          <w:color w:val="000000"/>
          <w:lang w:val="en-US"/>
        </w:rPr>
        <w:t>10</w:t>
      </w:r>
      <w:r>
        <w:rPr>
          <w:rStyle w:val="Grietas"/>
          <w:b w:val="0"/>
          <w:bCs w:val="0"/>
          <w:color w:val="000000"/>
        </w:rPr>
        <w:t>. Kiekvienas Komisijos narys įsipareigoja:</w:t>
      </w:r>
    </w:p>
    <w:p w:rsidR="001F15EA" w:rsidRPr="008E74C2" w:rsidRDefault="001F15EA" w:rsidP="001F15EA">
      <w:pPr>
        <w:pStyle w:val="prastasiniatinklio"/>
        <w:spacing w:before="0" w:beforeAutospacing="0" w:after="0"/>
        <w:ind w:firstLine="1276"/>
        <w:jc w:val="both"/>
      </w:pPr>
      <w:r>
        <w:rPr>
          <w:lang w:val="en-US"/>
        </w:rPr>
        <w:t>10.</w:t>
      </w:r>
      <w:r>
        <w:t xml:space="preserve">1. </w:t>
      </w:r>
      <w:r w:rsidRPr="008E74C2">
        <w:t xml:space="preserve">analizuoti, vertinti ir teikti </w:t>
      </w:r>
      <w:r w:rsidRPr="00BF3D93">
        <w:t>išvadas</w:t>
      </w:r>
      <w:r w:rsidRPr="008E74C2">
        <w:t xml:space="preserve"> dėl finansavimo skyrimo kultūros projektams vadovaujantis nustatytais vertinimo </w:t>
      </w:r>
      <w:r w:rsidRPr="00D604E9">
        <w:t>kriterijais</w:t>
      </w:r>
      <w:r w:rsidR="00EC362C" w:rsidRPr="00D604E9">
        <w:t xml:space="preserve"> ir jų balais, bei</w:t>
      </w:r>
      <w:r w:rsidR="00EC362C">
        <w:t xml:space="preserve"> </w:t>
      </w:r>
      <w:r w:rsidRPr="008E74C2">
        <w:t xml:space="preserve">einamųjų metų prioritetais; </w:t>
      </w:r>
    </w:p>
    <w:p w:rsidR="001F15EA" w:rsidRPr="00D604E9" w:rsidRDefault="001F15EA" w:rsidP="001F15EA">
      <w:pPr>
        <w:pStyle w:val="prastasiniatinklio"/>
        <w:spacing w:before="0" w:beforeAutospacing="0" w:after="0"/>
        <w:ind w:firstLine="1276"/>
        <w:jc w:val="both"/>
      </w:pPr>
      <w:r w:rsidRPr="00D604E9">
        <w:t xml:space="preserve">10.2. </w:t>
      </w:r>
      <w:r w:rsidRPr="00D604E9">
        <w:rPr>
          <w:color w:val="000000"/>
        </w:rPr>
        <w:t xml:space="preserve">prieš pradėdamas eiti </w:t>
      </w:r>
      <w:r w:rsidRPr="00D604E9">
        <w:t>K</w:t>
      </w:r>
      <w:r w:rsidRPr="00D604E9">
        <w:rPr>
          <w:color w:val="000000"/>
        </w:rPr>
        <w:t xml:space="preserve">omisijos nario pareigas pateikti </w:t>
      </w:r>
      <w:r w:rsidR="00BF3D93" w:rsidRPr="00D604E9">
        <w:rPr>
          <w:color w:val="000000"/>
        </w:rPr>
        <w:t>sutikimą būti Šiaulių miesto kultūros ekspertų komisijos nariu</w:t>
      </w:r>
      <w:r w:rsidR="003464D3" w:rsidRPr="00D604E9">
        <w:rPr>
          <w:color w:val="000000"/>
        </w:rPr>
        <w:t xml:space="preserve"> (1 priedas)</w:t>
      </w:r>
      <w:r w:rsidRPr="00D604E9">
        <w:t xml:space="preserve">; </w:t>
      </w:r>
    </w:p>
    <w:p w:rsidR="00BF3D93" w:rsidRPr="00D604E9" w:rsidRDefault="00BF3D93" w:rsidP="001F15EA">
      <w:pPr>
        <w:pStyle w:val="prastasiniatinklio"/>
        <w:spacing w:before="0" w:beforeAutospacing="0" w:after="0"/>
        <w:ind w:firstLine="1276"/>
        <w:jc w:val="both"/>
      </w:pPr>
      <w:r w:rsidRPr="00D604E9">
        <w:t>10.3. prieš pradėdam</w:t>
      </w:r>
      <w:r w:rsidR="00BD309E" w:rsidRPr="00D604E9">
        <w:t>as darbą, privalo pasirašyti Nešališkumo deklaraciją ir Konfidencialumo pasižadėjimą;</w:t>
      </w:r>
    </w:p>
    <w:p w:rsidR="001F15EA" w:rsidRDefault="001F15EA" w:rsidP="00B64D41">
      <w:pPr>
        <w:pStyle w:val="prastasiniatinklio"/>
        <w:spacing w:before="0" w:beforeAutospacing="0" w:after="0"/>
        <w:ind w:firstLine="1276"/>
        <w:jc w:val="both"/>
      </w:pPr>
      <w:r w:rsidRPr="008E74C2">
        <w:t>10.</w:t>
      </w:r>
      <w:r w:rsidR="00BF3D93">
        <w:t>4</w:t>
      </w:r>
      <w:r w:rsidRPr="008E74C2">
        <w:t>. nusišalinti</w:t>
      </w:r>
      <w:r>
        <w:t xml:space="preserve"> nuo </w:t>
      </w:r>
      <w:r w:rsidR="00B64D41">
        <w:t>paraiškos</w:t>
      </w:r>
      <w:r>
        <w:t xml:space="preserve"> vertinimo, jeigu su </w:t>
      </w:r>
      <w:r w:rsidR="00B64D41">
        <w:t>paraiškos teikėju</w:t>
      </w:r>
      <w:r>
        <w:t xml:space="preserve"> yra susijęs giminystės ar svainystės ryšiais, yra </w:t>
      </w:r>
      <w:r w:rsidR="00885334" w:rsidRPr="00483BF2">
        <w:t>paraišk</w:t>
      </w:r>
      <w:r w:rsidR="00B64D41">
        <w:t>os autoriaus steigėjas ar dalyvis,</w:t>
      </w:r>
      <w:r w:rsidR="00885334" w:rsidRPr="00483BF2">
        <w:t xml:space="preserve"> </w:t>
      </w:r>
      <w:r w:rsidR="00B64D41">
        <w:t xml:space="preserve">darbuotojas ar valdymo organo narys arba suinteresuotas vertinimo rezultatais. </w:t>
      </w:r>
      <w:r>
        <w:t xml:space="preserve">Jeigu Komisijos narys nenusišalina nuo </w:t>
      </w:r>
      <w:r w:rsidR="00B64D41">
        <w:t>paraiškos</w:t>
      </w:r>
      <w:r>
        <w:t xml:space="preserve"> vertinimo, teisę jį nušalinti turi Komisijos pirmininkas. </w:t>
      </w:r>
    </w:p>
    <w:p w:rsidR="001F15EA" w:rsidRDefault="001F15EA" w:rsidP="001F15EA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</w:p>
    <w:p w:rsidR="00384E94" w:rsidRDefault="00384E94" w:rsidP="001F15EA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</w:p>
    <w:p w:rsidR="00D604E9" w:rsidRDefault="001F15EA" w:rsidP="00D604E9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Pr="008E74C2">
        <w:rPr>
          <w:b/>
          <w:bCs/>
          <w:color w:val="000000"/>
        </w:rPr>
        <w:t xml:space="preserve"> </w:t>
      </w:r>
      <w:r w:rsidR="001B348D">
        <w:rPr>
          <w:b/>
          <w:bCs/>
          <w:color w:val="000000"/>
        </w:rPr>
        <w:t>SKYRIUS</w:t>
      </w:r>
    </w:p>
    <w:p w:rsidR="001F15EA" w:rsidRPr="00D604E9" w:rsidRDefault="001F15EA" w:rsidP="00D604E9">
      <w:pPr>
        <w:pStyle w:val="prastasiniatinklio"/>
        <w:spacing w:before="0" w:beforeAutospacing="0" w:after="0"/>
        <w:jc w:val="center"/>
        <w:rPr>
          <w:b/>
          <w:bCs/>
          <w:color w:val="000000"/>
        </w:rPr>
      </w:pPr>
      <w:r w:rsidRPr="008E74C2">
        <w:rPr>
          <w:b/>
          <w:bCs/>
          <w:color w:val="000000"/>
        </w:rPr>
        <w:t>KOMISIJOS SUDĖTIS IR DARBO ORGANIZAVIMAS</w:t>
      </w:r>
    </w:p>
    <w:p w:rsidR="001F15EA" w:rsidRPr="008E74C2" w:rsidRDefault="001F15EA" w:rsidP="001F15EA">
      <w:pPr>
        <w:pStyle w:val="prastasiniatinklio"/>
        <w:spacing w:before="0" w:beforeAutospacing="0" w:after="0"/>
        <w:ind w:firstLine="312"/>
        <w:jc w:val="both"/>
      </w:pPr>
    </w:p>
    <w:p w:rsidR="001F15EA" w:rsidRPr="008E74C2" w:rsidRDefault="001F15EA" w:rsidP="001F15EA">
      <w:pPr>
        <w:pStyle w:val="prastasiniatinklio"/>
        <w:spacing w:before="0" w:beforeAutospacing="0" w:after="0"/>
        <w:ind w:firstLine="1418"/>
        <w:jc w:val="both"/>
      </w:pPr>
      <w:r w:rsidRPr="008E74C2">
        <w:rPr>
          <w:color w:val="000000"/>
        </w:rPr>
        <w:t>11. Komisiją sudaro 15 ekspertų, kurie atstovauja:</w:t>
      </w:r>
    </w:p>
    <w:p w:rsidR="001F15EA" w:rsidRPr="008E74C2" w:rsidRDefault="001F15EA" w:rsidP="001F15EA">
      <w:pPr>
        <w:pStyle w:val="prastasiniatinklio"/>
        <w:spacing w:before="0" w:beforeAutospacing="0" w:after="0"/>
        <w:ind w:left="153" w:firstLine="1276"/>
        <w:jc w:val="both"/>
      </w:pPr>
      <w:r w:rsidRPr="008E74C2">
        <w:rPr>
          <w:color w:val="000000"/>
        </w:rPr>
        <w:t>11.1. muzikos men</w:t>
      </w:r>
      <w:r>
        <w:rPr>
          <w:color w:val="000000"/>
        </w:rPr>
        <w:t>ui</w:t>
      </w:r>
      <w:r w:rsidRPr="008E74C2">
        <w:rPr>
          <w:color w:val="000000"/>
        </w:rPr>
        <w:t xml:space="preserve"> – 2 nariai; </w:t>
      </w:r>
    </w:p>
    <w:p w:rsidR="001F15EA" w:rsidRPr="008E74C2" w:rsidRDefault="001F15EA" w:rsidP="001F15EA">
      <w:pPr>
        <w:ind w:left="720" w:firstLine="709"/>
        <w:jc w:val="both"/>
      </w:pPr>
      <w:r w:rsidRPr="008E74C2">
        <w:t>11.2. vizual</w:t>
      </w:r>
      <w:r>
        <w:t>iajam</w:t>
      </w:r>
      <w:r w:rsidRPr="008E74C2">
        <w:t xml:space="preserve"> men</w:t>
      </w:r>
      <w:r>
        <w:t>ui</w:t>
      </w:r>
      <w:r w:rsidRPr="008E74C2">
        <w:t xml:space="preserve"> – 3 nariai; </w:t>
      </w:r>
    </w:p>
    <w:p w:rsidR="001F15EA" w:rsidRPr="008E74C2" w:rsidRDefault="001F15EA" w:rsidP="001F15EA">
      <w:pPr>
        <w:ind w:left="720" w:firstLine="709"/>
        <w:jc w:val="both"/>
      </w:pPr>
      <w:r w:rsidRPr="008E74C2">
        <w:t>11.3. teatro  men</w:t>
      </w:r>
      <w:r>
        <w:t>ui</w:t>
      </w:r>
      <w:r w:rsidRPr="008E74C2">
        <w:t xml:space="preserve"> – 2 nariai;</w:t>
      </w:r>
    </w:p>
    <w:p w:rsidR="001F15EA" w:rsidRDefault="001F15EA" w:rsidP="001F15EA">
      <w:pPr>
        <w:ind w:left="720" w:firstLine="709"/>
        <w:jc w:val="both"/>
      </w:pPr>
      <w:r w:rsidRPr="008E74C2">
        <w:t>11.4. šokio men</w:t>
      </w:r>
      <w:r>
        <w:t>ui</w:t>
      </w:r>
      <w:r w:rsidRPr="008E74C2">
        <w:t xml:space="preserve"> – 2</w:t>
      </w:r>
      <w:r>
        <w:t xml:space="preserve"> nariai;</w:t>
      </w:r>
    </w:p>
    <w:p w:rsidR="001F15EA" w:rsidRDefault="001F15EA" w:rsidP="001F15EA">
      <w:pPr>
        <w:ind w:left="1429"/>
        <w:jc w:val="both"/>
      </w:pPr>
      <w:r>
        <w:t>11.5. literatūrai – 2 nariai;</w:t>
      </w:r>
    </w:p>
    <w:p w:rsidR="001F15EA" w:rsidRPr="008E74C2" w:rsidRDefault="001F15EA" w:rsidP="001F15EA">
      <w:pPr>
        <w:ind w:left="720" w:firstLine="709"/>
        <w:jc w:val="both"/>
      </w:pPr>
      <w:r>
        <w:rPr>
          <w:lang w:val="en-US"/>
        </w:rPr>
        <w:t>11</w:t>
      </w:r>
      <w:r>
        <w:t>.6</w:t>
      </w:r>
      <w:r w:rsidRPr="008E74C2">
        <w:t>. kultūros paveldui – 2 nariai;</w:t>
      </w:r>
    </w:p>
    <w:p w:rsidR="001F15EA" w:rsidRDefault="004C4445" w:rsidP="001F15EA">
      <w:pPr>
        <w:ind w:left="720" w:firstLine="709"/>
        <w:jc w:val="both"/>
      </w:pPr>
      <w:r>
        <w:t>11.7. etninei kultūrai</w:t>
      </w:r>
      <w:r w:rsidR="001F15EA">
        <w:t xml:space="preserve"> – 2 nariai.</w:t>
      </w:r>
    </w:p>
    <w:p w:rsidR="00384E94" w:rsidRPr="00483BF2" w:rsidRDefault="00384E94" w:rsidP="00384E94">
      <w:pPr>
        <w:ind w:firstLine="1418"/>
        <w:jc w:val="both"/>
      </w:pPr>
      <w:r>
        <w:t xml:space="preserve">12. Ekspertai renkami atsižvelgiant į kandidatų kvalifikaciją, </w:t>
      </w:r>
      <w:r w:rsidRPr="00483BF2">
        <w:t>kompetenciją, specifinę profesinę patirtį toje kultūros ir meno srityje, kuriai ekspertas atstovauja, ir eksperto sutikimą.</w:t>
      </w:r>
    </w:p>
    <w:p w:rsidR="001F15EA" w:rsidRDefault="001F15EA" w:rsidP="001F15EA">
      <w:pPr>
        <w:ind w:firstLine="1418"/>
        <w:jc w:val="both"/>
      </w:pPr>
      <w:r w:rsidRPr="00483BF2">
        <w:t>13. Kandidatus į Komisiją siūlo Kultūros skyrius. Kandidat</w:t>
      </w:r>
      <w:r w:rsidRPr="00D0416B">
        <w:t xml:space="preserve">us Kultūros skyriui gali </w:t>
      </w:r>
      <w:r w:rsidR="00302C44">
        <w:t xml:space="preserve">teikti </w:t>
      </w:r>
      <w:r w:rsidRPr="00D0416B">
        <w:t>kultūros įstaigos, kūrybinės sąjungos, kultūros srit</w:t>
      </w:r>
      <w:r>
        <w:t>ies</w:t>
      </w:r>
      <w:r w:rsidRPr="00D0416B">
        <w:t xml:space="preserve"> nevyriausybinės organizacijos.</w:t>
      </w:r>
      <w:r>
        <w:t xml:space="preserve"> Kartu su pasiūlymu teikėjas pateikia kandidato kvalifikaciją, specifinę profesinę patirtį konkrečioje kultūros ar meno srityje patvirtinantį dokumentą.</w:t>
      </w:r>
    </w:p>
    <w:p w:rsidR="001F15EA" w:rsidRDefault="001F15EA" w:rsidP="001F15EA">
      <w:pPr>
        <w:ind w:firstLine="1418"/>
        <w:jc w:val="both"/>
      </w:pPr>
      <w:r>
        <w:t>14. Komisijos sudėtis tvirtinama Savivaldybės administracijos direktoriaus įsakymu.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  <w:rPr>
          <w:lang w:val="en-US"/>
        </w:rPr>
      </w:pPr>
      <w:r>
        <w:rPr>
          <w:color w:val="000000"/>
        </w:rPr>
        <w:t>15. Komisijos nario kadencija – 4 metai. Kadencijos pabaigoje turi būti keičiama bent trečdalis Komisijos narių.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</w:pPr>
      <w:r>
        <w:rPr>
          <w:color w:val="000000"/>
        </w:rPr>
        <w:t>16. Komisijos nario kadencijų skaičius neribojamas.</w:t>
      </w:r>
    </w:p>
    <w:p w:rsidR="001F15EA" w:rsidRPr="00D0416B" w:rsidRDefault="001F15EA" w:rsidP="001F15EA">
      <w:pPr>
        <w:pStyle w:val="prastasiniatinklio"/>
        <w:spacing w:before="0" w:beforeAutospacing="0" w:after="0"/>
        <w:ind w:firstLine="1418"/>
        <w:jc w:val="both"/>
      </w:pPr>
      <w:r w:rsidRPr="00D0416B">
        <w:rPr>
          <w:color w:val="000000"/>
        </w:rPr>
        <w:t>17. Komisija kiekviename posėdyje visų Komisijos narių dauguma renka Komisijos pirmininką.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  <w:rPr>
          <w:b/>
          <w:color w:val="000000"/>
        </w:rPr>
      </w:pPr>
      <w:r>
        <w:rPr>
          <w:color w:val="000000"/>
        </w:rPr>
        <w:t>18</w:t>
      </w:r>
      <w:r w:rsidRPr="008672D1">
        <w:rPr>
          <w:color w:val="000000"/>
        </w:rPr>
        <w:t>.</w:t>
      </w:r>
      <w:r w:rsidRPr="008672D1">
        <w:rPr>
          <w:b/>
          <w:color w:val="000000"/>
        </w:rPr>
        <w:t xml:space="preserve"> </w:t>
      </w:r>
      <w:r>
        <w:t>Komisijos posėdžiai yra teisėti, jeigu posėdyje dalyvauja ne mažiau kaip pusė Komisijos narių.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</w:pPr>
      <w:r>
        <w:rPr>
          <w:color w:val="000000"/>
        </w:rPr>
        <w:t xml:space="preserve">19. Komisijos </w:t>
      </w:r>
      <w:r w:rsidRPr="00D5438E">
        <w:t>siūlymai priimami balsuojant dalyvaujančių narių balsų dauguma. Jei balsai pasiski</w:t>
      </w:r>
      <w:r>
        <w:t>rsto po lygiai, lemia pirmininko</w:t>
      </w:r>
      <w:r w:rsidRPr="00D5438E">
        <w:t xml:space="preserve"> balsas.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</w:pPr>
      <w:r>
        <w:rPr>
          <w:color w:val="000000"/>
        </w:rPr>
        <w:t>20. Komisijos posėdžiai rengiami pagal poreikį.</w:t>
      </w:r>
    </w:p>
    <w:p w:rsidR="001F15EA" w:rsidRDefault="001F15EA" w:rsidP="001F15EA">
      <w:pPr>
        <w:pStyle w:val="prastasiniatinklio"/>
        <w:spacing w:before="0" w:beforeAutospacing="0" w:after="0"/>
        <w:ind w:firstLine="1418"/>
        <w:jc w:val="both"/>
      </w:pPr>
      <w:r>
        <w:rPr>
          <w:color w:val="000000"/>
        </w:rPr>
        <w:t xml:space="preserve">21. </w:t>
      </w:r>
      <w:r>
        <w:t>Komisijos posėdžiai yra protokoluojami. Protokolą pasirašo posėdžio pirmininkas ir sekretorius.</w:t>
      </w:r>
    </w:p>
    <w:p w:rsidR="001F15EA" w:rsidRPr="00483BF2" w:rsidRDefault="001F15EA" w:rsidP="001F15EA">
      <w:pPr>
        <w:pStyle w:val="prastasiniatinklio"/>
        <w:spacing w:before="0" w:beforeAutospacing="0" w:after="0"/>
        <w:ind w:firstLine="1418"/>
        <w:jc w:val="both"/>
      </w:pPr>
      <w:r>
        <w:t xml:space="preserve">22. Komisijos posėdžiams kviesti, jiems protokoluoti, dokumentacijai tvarkyti </w:t>
      </w:r>
      <w:r w:rsidRPr="00483BF2">
        <w:t>Kultūros skyriaus vedėjas skiria skyriaus darbuotoją, kuris nėra Komisijos narys.</w:t>
      </w:r>
    </w:p>
    <w:p w:rsidR="001F15EA" w:rsidRPr="00891478" w:rsidRDefault="001F15EA" w:rsidP="001F15EA">
      <w:pPr>
        <w:pStyle w:val="prastasiniatinklio"/>
        <w:spacing w:before="0" w:beforeAutospacing="0" w:after="0"/>
        <w:ind w:firstLine="1418"/>
        <w:jc w:val="both"/>
        <w:rPr>
          <w:color w:val="000000"/>
        </w:rPr>
      </w:pPr>
      <w:r w:rsidRPr="00483BF2">
        <w:rPr>
          <w:color w:val="000000"/>
        </w:rPr>
        <w:t>23. Jei Komisijos narys atsisako dalyvauti Komisijos veikloje, Kultūros skyrius siūlo</w:t>
      </w:r>
      <w:r>
        <w:rPr>
          <w:color w:val="000000"/>
        </w:rPr>
        <w:t xml:space="preserve"> kitą kandidatą.</w:t>
      </w:r>
    </w:p>
    <w:p w:rsidR="001F15EA" w:rsidRDefault="001F15EA" w:rsidP="001F15EA">
      <w:pPr>
        <w:pStyle w:val="prastasiniatinklio"/>
        <w:spacing w:before="0" w:beforeAutospacing="0" w:after="0"/>
        <w:rPr>
          <w:rStyle w:val="Grietas"/>
          <w:color w:val="000000"/>
        </w:rPr>
      </w:pPr>
    </w:p>
    <w:p w:rsidR="001B348D" w:rsidRDefault="001B348D" w:rsidP="00D604E9">
      <w:pPr>
        <w:pStyle w:val="prastasiniatinklio"/>
        <w:spacing w:before="0" w:beforeAutospacing="0" w:after="0"/>
        <w:jc w:val="center"/>
        <w:rPr>
          <w:rStyle w:val="Grietas"/>
          <w:color w:val="000000"/>
        </w:rPr>
      </w:pPr>
      <w:r>
        <w:rPr>
          <w:rStyle w:val="Grietas"/>
          <w:color w:val="000000"/>
        </w:rPr>
        <w:t>V</w:t>
      </w:r>
      <w:r w:rsidR="001F15EA">
        <w:rPr>
          <w:rStyle w:val="Grietas"/>
          <w:color w:val="000000"/>
        </w:rPr>
        <w:t xml:space="preserve"> </w:t>
      </w:r>
      <w:r>
        <w:rPr>
          <w:rStyle w:val="Grietas"/>
          <w:color w:val="000000"/>
        </w:rPr>
        <w:t>SKYRIUS</w:t>
      </w:r>
    </w:p>
    <w:p w:rsidR="001F15EA" w:rsidRDefault="001F15EA" w:rsidP="00D604E9">
      <w:pPr>
        <w:pStyle w:val="prastasiniatinklio"/>
        <w:spacing w:before="0" w:beforeAutospacing="0" w:after="0"/>
        <w:jc w:val="center"/>
      </w:pPr>
      <w:r>
        <w:rPr>
          <w:rStyle w:val="Grietas"/>
          <w:color w:val="000000"/>
        </w:rPr>
        <w:t>BAIGIAMOSIOS NUOSTATOS</w:t>
      </w:r>
    </w:p>
    <w:p w:rsidR="001F15EA" w:rsidRDefault="001F15EA" w:rsidP="001F15EA">
      <w:pPr>
        <w:ind w:firstLine="709"/>
        <w:jc w:val="both"/>
      </w:pPr>
    </w:p>
    <w:p w:rsidR="001F15EA" w:rsidRDefault="001F15EA" w:rsidP="001F15EA">
      <w:pPr>
        <w:ind w:firstLine="1418"/>
        <w:jc w:val="both"/>
      </w:pPr>
      <w:r>
        <w:t>24. Komisija nevykdo finansinės veiklos.</w:t>
      </w:r>
    </w:p>
    <w:p w:rsidR="001F15EA" w:rsidRDefault="001F15EA" w:rsidP="001F15EA">
      <w:pPr>
        <w:ind w:firstLine="1418"/>
        <w:jc w:val="both"/>
      </w:pPr>
      <w:r>
        <w:t>25. Komisija dirba visuomeniniais pagrindais.</w:t>
      </w:r>
    </w:p>
    <w:p w:rsidR="001F15EA" w:rsidRDefault="001F15EA" w:rsidP="001F15EA">
      <w:pPr>
        <w:ind w:firstLine="1418"/>
        <w:jc w:val="both"/>
      </w:pPr>
      <w:r>
        <w:t xml:space="preserve">26. </w:t>
      </w:r>
      <w:r w:rsidR="00384E94" w:rsidRPr="00483BF2">
        <w:rPr>
          <w:rFonts w:ascii="Times New Roman" w:hAnsi="Times New Roman"/>
          <w:color w:val="auto"/>
          <w:lang w:eastAsia="lt-LT"/>
        </w:rPr>
        <w:t>N</w:t>
      </w:r>
      <w:r w:rsidRPr="00483BF2">
        <w:rPr>
          <w:rFonts w:ascii="Times New Roman" w:hAnsi="Times New Roman"/>
          <w:color w:val="auto"/>
          <w:lang w:eastAsia="lt-LT"/>
        </w:rPr>
        <w:t>u</w:t>
      </w:r>
      <w:r w:rsidRPr="00D5438E">
        <w:rPr>
          <w:rFonts w:ascii="Times New Roman" w:hAnsi="Times New Roman"/>
          <w:color w:val="auto"/>
          <w:lang w:eastAsia="lt-LT"/>
        </w:rPr>
        <w:t xml:space="preserve">ostatai keičiami ar papildomi Kultūros skyriaus teikimu </w:t>
      </w:r>
      <w:r>
        <w:t>Savivaldybės administracijos</w:t>
      </w:r>
      <w:r w:rsidRPr="00D5438E">
        <w:rPr>
          <w:rFonts w:ascii="Times New Roman" w:hAnsi="Times New Roman"/>
          <w:color w:val="auto"/>
          <w:lang w:eastAsia="lt-LT"/>
        </w:rPr>
        <w:t xml:space="preserve"> direktoriaus įsakymu.</w:t>
      </w:r>
    </w:p>
    <w:p w:rsidR="001F15EA" w:rsidRDefault="001F15EA" w:rsidP="001F15EA">
      <w:pPr>
        <w:jc w:val="both"/>
      </w:pPr>
    </w:p>
    <w:p w:rsidR="001F15EA" w:rsidRDefault="001F15EA" w:rsidP="001F15EA">
      <w:pPr>
        <w:pStyle w:val="prastasiniatinklio"/>
        <w:spacing w:before="0" w:beforeAutospacing="0" w:after="0"/>
        <w:jc w:val="center"/>
      </w:pPr>
      <w:r>
        <w:rPr>
          <w:color w:val="000000"/>
        </w:rPr>
        <w:t>_____________________________________</w:t>
      </w:r>
    </w:p>
    <w:p w:rsidR="001F15EA" w:rsidRDefault="001F15EA" w:rsidP="004D3480">
      <w:pPr>
        <w:pStyle w:val="prastasiniatinklio"/>
        <w:spacing w:before="0" w:beforeAutospacing="0" w:after="0"/>
        <w:jc w:val="both"/>
      </w:pPr>
    </w:p>
    <w:p w:rsidR="00CB05F4" w:rsidRDefault="00CB05F4" w:rsidP="006A32AB">
      <w:pPr>
        <w:pStyle w:val="prastasiniatinklio"/>
        <w:spacing w:before="0" w:beforeAutospacing="0" w:after="0"/>
        <w:jc w:val="center"/>
      </w:pPr>
    </w:p>
    <w:sectPr w:rsidR="00CB05F4" w:rsidSect="00384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7F6" w:rsidRDefault="00C827F6">
      <w:r>
        <w:separator/>
      </w:r>
    </w:p>
  </w:endnote>
  <w:endnote w:type="continuationSeparator" w:id="0">
    <w:p w:rsidR="00C827F6" w:rsidRDefault="00C8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7F6" w:rsidRDefault="00C827F6">
      <w:r>
        <w:separator/>
      </w:r>
    </w:p>
  </w:footnote>
  <w:footnote w:type="continuationSeparator" w:id="0">
    <w:p w:rsidR="00C827F6" w:rsidRDefault="00C8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93818"/>
      <w:docPartObj>
        <w:docPartGallery w:val="Page Numbers (Top of Page)"/>
        <w:docPartUnique/>
      </w:docPartObj>
    </w:sdtPr>
    <w:sdtEndPr/>
    <w:sdtContent>
      <w:p w:rsidR="00696F3D" w:rsidRDefault="00674141">
        <w:pPr>
          <w:pStyle w:val="Antrats"/>
          <w:jc w:val="center"/>
        </w:pPr>
        <w:r>
          <w:fldChar w:fldCharType="begin"/>
        </w:r>
        <w:r w:rsidR="00A5655C">
          <w:instrText xml:space="preserve"> PAGE   \* MERGEFORMAT </w:instrText>
        </w:r>
        <w:r>
          <w:fldChar w:fldCharType="separate"/>
        </w:r>
        <w:r w:rsidR="00FC0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F3D" w:rsidRDefault="00696F3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696F3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A95199F"/>
    <w:multiLevelType w:val="hybridMultilevel"/>
    <w:tmpl w:val="4F422518"/>
    <w:lvl w:ilvl="0" w:tplc="FF98FFA6">
      <w:start w:val="1"/>
      <w:numFmt w:val="upperRoman"/>
      <w:lvlText w:val="%1."/>
      <w:lvlJc w:val="left"/>
      <w:pPr>
        <w:ind w:left="47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45" w:hanging="360"/>
      </w:pPr>
    </w:lvl>
    <w:lvl w:ilvl="2" w:tplc="0427001B" w:tentative="1">
      <w:start w:val="1"/>
      <w:numFmt w:val="lowerRoman"/>
      <w:lvlText w:val="%3."/>
      <w:lvlJc w:val="right"/>
      <w:pPr>
        <w:ind w:left="5865" w:hanging="180"/>
      </w:pPr>
    </w:lvl>
    <w:lvl w:ilvl="3" w:tplc="0427000F" w:tentative="1">
      <w:start w:val="1"/>
      <w:numFmt w:val="decimal"/>
      <w:lvlText w:val="%4."/>
      <w:lvlJc w:val="left"/>
      <w:pPr>
        <w:ind w:left="6585" w:hanging="360"/>
      </w:pPr>
    </w:lvl>
    <w:lvl w:ilvl="4" w:tplc="04270019" w:tentative="1">
      <w:start w:val="1"/>
      <w:numFmt w:val="lowerLetter"/>
      <w:lvlText w:val="%5."/>
      <w:lvlJc w:val="left"/>
      <w:pPr>
        <w:ind w:left="7305" w:hanging="360"/>
      </w:pPr>
    </w:lvl>
    <w:lvl w:ilvl="5" w:tplc="0427001B" w:tentative="1">
      <w:start w:val="1"/>
      <w:numFmt w:val="lowerRoman"/>
      <w:lvlText w:val="%6."/>
      <w:lvlJc w:val="right"/>
      <w:pPr>
        <w:ind w:left="8025" w:hanging="180"/>
      </w:pPr>
    </w:lvl>
    <w:lvl w:ilvl="6" w:tplc="0427000F" w:tentative="1">
      <w:start w:val="1"/>
      <w:numFmt w:val="decimal"/>
      <w:lvlText w:val="%7."/>
      <w:lvlJc w:val="left"/>
      <w:pPr>
        <w:ind w:left="8745" w:hanging="360"/>
      </w:pPr>
    </w:lvl>
    <w:lvl w:ilvl="7" w:tplc="04270019" w:tentative="1">
      <w:start w:val="1"/>
      <w:numFmt w:val="lowerLetter"/>
      <w:lvlText w:val="%8."/>
      <w:lvlJc w:val="left"/>
      <w:pPr>
        <w:ind w:left="9465" w:hanging="360"/>
      </w:pPr>
    </w:lvl>
    <w:lvl w:ilvl="8" w:tplc="0427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" w15:restartNumberingAfterBreak="0">
    <w:nsid w:val="197A0413"/>
    <w:multiLevelType w:val="multilevel"/>
    <w:tmpl w:val="E8E4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47203"/>
    <w:multiLevelType w:val="multilevel"/>
    <w:tmpl w:val="4F803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25CDD"/>
    <w:multiLevelType w:val="hybridMultilevel"/>
    <w:tmpl w:val="BAE0DD8C"/>
    <w:lvl w:ilvl="0" w:tplc="67021D84">
      <w:start w:val="1"/>
      <w:numFmt w:val="upperRoman"/>
      <w:lvlText w:val="%1."/>
      <w:lvlJc w:val="left"/>
      <w:pPr>
        <w:ind w:left="5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80" w:hanging="360"/>
      </w:pPr>
    </w:lvl>
    <w:lvl w:ilvl="2" w:tplc="0427001B" w:tentative="1">
      <w:start w:val="1"/>
      <w:numFmt w:val="lowerRoman"/>
      <w:lvlText w:val="%3."/>
      <w:lvlJc w:val="right"/>
      <w:pPr>
        <w:ind w:left="6800" w:hanging="180"/>
      </w:pPr>
    </w:lvl>
    <w:lvl w:ilvl="3" w:tplc="0427000F" w:tentative="1">
      <w:start w:val="1"/>
      <w:numFmt w:val="decimal"/>
      <w:lvlText w:val="%4."/>
      <w:lvlJc w:val="left"/>
      <w:pPr>
        <w:ind w:left="7520" w:hanging="360"/>
      </w:pPr>
    </w:lvl>
    <w:lvl w:ilvl="4" w:tplc="04270019" w:tentative="1">
      <w:start w:val="1"/>
      <w:numFmt w:val="lowerLetter"/>
      <w:lvlText w:val="%5."/>
      <w:lvlJc w:val="left"/>
      <w:pPr>
        <w:ind w:left="8240" w:hanging="360"/>
      </w:pPr>
    </w:lvl>
    <w:lvl w:ilvl="5" w:tplc="0427001B" w:tentative="1">
      <w:start w:val="1"/>
      <w:numFmt w:val="lowerRoman"/>
      <w:lvlText w:val="%6."/>
      <w:lvlJc w:val="right"/>
      <w:pPr>
        <w:ind w:left="8960" w:hanging="180"/>
      </w:pPr>
    </w:lvl>
    <w:lvl w:ilvl="6" w:tplc="0427000F" w:tentative="1">
      <w:start w:val="1"/>
      <w:numFmt w:val="decimal"/>
      <w:lvlText w:val="%7."/>
      <w:lvlJc w:val="left"/>
      <w:pPr>
        <w:ind w:left="9680" w:hanging="360"/>
      </w:pPr>
    </w:lvl>
    <w:lvl w:ilvl="7" w:tplc="04270019" w:tentative="1">
      <w:start w:val="1"/>
      <w:numFmt w:val="lowerLetter"/>
      <w:lvlText w:val="%8."/>
      <w:lvlJc w:val="left"/>
      <w:pPr>
        <w:ind w:left="10400" w:hanging="360"/>
      </w:pPr>
    </w:lvl>
    <w:lvl w:ilvl="8" w:tplc="0427001B" w:tentative="1">
      <w:start w:val="1"/>
      <w:numFmt w:val="lowerRoman"/>
      <w:lvlText w:val="%9."/>
      <w:lvlJc w:val="right"/>
      <w:pPr>
        <w:ind w:left="11120" w:hanging="180"/>
      </w:pPr>
    </w:lvl>
  </w:abstractNum>
  <w:abstractNum w:abstractNumId="6" w15:restartNumberingAfterBreak="0">
    <w:nsid w:val="30CA66F6"/>
    <w:multiLevelType w:val="multilevel"/>
    <w:tmpl w:val="4E70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3DBC"/>
    <w:multiLevelType w:val="hybridMultilevel"/>
    <w:tmpl w:val="E86AB1CC"/>
    <w:lvl w:ilvl="0" w:tplc="74A447A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A202A"/>
    <w:multiLevelType w:val="multilevel"/>
    <w:tmpl w:val="2CBC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D2FA1"/>
    <w:multiLevelType w:val="hybridMultilevel"/>
    <w:tmpl w:val="B748DAB0"/>
    <w:lvl w:ilvl="0" w:tplc="19B210A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4B6061"/>
    <w:multiLevelType w:val="multilevel"/>
    <w:tmpl w:val="780A7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80B93"/>
    <w:multiLevelType w:val="multilevel"/>
    <w:tmpl w:val="5B7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8351A2"/>
    <w:multiLevelType w:val="hybridMultilevel"/>
    <w:tmpl w:val="C4D4A65C"/>
    <w:lvl w:ilvl="0" w:tplc="EF38BC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D5776"/>
    <w:multiLevelType w:val="multilevel"/>
    <w:tmpl w:val="3E10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001B4"/>
    <w:multiLevelType w:val="hybridMultilevel"/>
    <w:tmpl w:val="F4E479CE"/>
    <w:lvl w:ilvl="0" w:tplc="96EA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3DF7"/>
    <w:multiLevelType w:val="multilevel"/>
    <w:tmpl w:val="EDF0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5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D"/>
    <w:rsid w:val="000020BC"/>
    <w:rsid w:val="0001084E"/>
    <w:rsid w:val="00016D5C"/>
    <w:rsid w:val="000177E1"/>
    <w:rsid w:val="00020811"/>
    <w:rsid w:val="0003747D"/>
    <w:rsid w:val="00071CB5"/>
    <w:rsid w:val="0008313E"/>
    <w:rsid w:val="00083DE1"/>
    <w:rsid w:val="00087229"/>
    <w:rsid w:val="000A2470"/>
    <w:rsid w:val="000A3A19"/>
    <w:rsid w:val="000B1B2B"/>
    <w:rsid w:val="000B482A"/>
    <w:rsid w:val="000C4636"/>
    <w:rsid w:val="000C7EB4"/>
    <w:rsid w:val="000E68F9"/>
    <w:rsid w:val="000F5828"/>
    <w:rsid w:val="00110D62"/>
    <w:rsid w:val="00146608"/>
    <w:rsid w:val="0014681E"/>
    <w:rsid w:val="00165E3F"/>
    <w:rsid w:val="0018162A"/>
    <w:rsid w:val="0019151A"/>
    <w:rsid w:val="001B348D"/>
    <w:rsid w:val="001C504D"/>
    <w:rsid w:val="001C68EF"/>
    <w:rsid w:val="001D178E"/>
    <w:rsid w:val="001E6899"/>
    <w:rsid w:val="001F15EA"/>
    <w:rsid w:val="002064C5"/>
    <w:rsid w:val="002526FE"/>
    <w:rsid w:val="0025691D"/>
    <w:rsid w:val="0026659E"/>
    <w:rsid w:val="002675A3"/>
    <w:rsid w:val="002B5957"/>
    <w:rsid w:val="002D021E"/>
    <w:rsid w:val="002D64D8"/>
    <w:rsid w:val="002E4B08"/>
    <w:rsid w:val="00302C44"/>
    <w:rsid w:val="00341B9B"/>
    <w:rsid w:val="00344109"/>
    <w:rsid w:val="003464D3"/>
    <w:rsid w:val="00350067"/>
    <w:rsid w:val="00356415"/>
    <w:rsid w:val="00366079"/>
    <w:rsid w:val="00384E94"/>
    <w:rsid w:val="003A05B9"/>
    <w:rsid w:val="00415ACD"/>
    <w:rsid w:val="004237C3"/>
    <w:rsid w:val="00423EDD"/>
    <w:rsid w:val="00430085"/>
    <w:rsid w:val="00431DD2"/>
    <w:rsid w:val="00433E72"/>
    <w:rsid w:val="0043418D"/>
    <w:rsid w:val="004352E8"/>
    <w:rsid w:val="0044736A"/>
    <w:rsid w:val="0047527A"/>
    <w:rsid w:val="00483BF2"/>
    <w:rsid w:val="004942A6"/>
    <w:rsid w:val="00495BC1"/>
    <w:rsid w:val="004A301A"/>
    <w:rsid w:val="004C20A3"/>
    <w:rsid w:val="004C40B8"/>
    <w:rsid w:val="004C4445"/>
    <w:rsid w:val="004D3480"/>
    <w:rsid w:val="004E11BD"/>
    <w:rsid w:val="004E751B"/>
    <w:rsid w:val="005111E1"/>
    <w:rsid w:val="00527D22"/>
    <w:rsid w:val="00537873"/>
    <w:rsid w:val="0057262F"/>
    <w:rsid w:val="00592559"/>
    <w:rsid w:val="005A24D9"/>
    <w:rsid w:val="005B38C9"/>
    <w:rsid w:val="005B6EB8"/>
    <w:rsid w:val="005B7016"/>
    <w:rsid w:val="005D4442"/>
    <w:rsid w:val="005D6397"/>
    <w:rsid w:val="005E5949"/>
    <w:rsid w:val="0060408E"/>
    <w:rsid w:val="0060550E"/>
    <w:rsid w:val="00605B53"/>
    <w:rsid w:val="0065697B"/>
    <w:rsid w:val="00660EE3"/>
    <w:rsid w:val="00674141"/>
    <w:rsid w:val="00685BBD"/>
    <w:rsid w:val="00686639"/>
    <w:rsid w:val="00696F3D"/>
    <w:rsid w:val="00697A0A"/>
    <w:rsid w:val="006A32AB"/>
    <w:rsid w:val="006B17BD"/>
    <w:rsid w:val="006B1F6A"/>
    <w:rsid w:val="006D031A"/>
    <w:rsid w:val="006D257E"/>
    <w:rsid w:val="006D29BA"/>
    <w:rsid w:val="006D2E2D"/>
    <w:rsid w:val="006F3ACA"/>
    <w:rsid w:val="00705F23"/>
    <w:rsid w:val="007156ED"/>
    <w:rsid w:val="007242B0"/>
    <w:rsid w:val="0073154A"/>
    <w:rsid w:val="00740014"/>
    <w:rsid w:val="00746A30"/>
    <w:rsid w:val="00746C56"/>
    <w:rsid w:val="00757F7B"/>
    <w:rsid w:val="00764445"/>
    <w:rsid w:val="007851A6"/>
    <w:rsid w:val="007A24B2"/>
    <w:rsid w:val="007B23FA"/>
    <w:rsid w:val="007D2DFB"/>
    <w:rsid w:val="007E3550"/>
    <w:rsid w:val="007E6DC2"/>
    <w:rsid w:val="007F5B47"/>
    <w:rsid w:val="007F5D41"/>
    <w:rsid w:val="00811D34"/>
    <w:rsid w:val="00821F71"/>
    <w:rsid w:val="008672D1"/>
    <w:rsid w:val="00885334"/>
    <w:rsid w:val="00891478"/>
    <w:rsid w:val="008B11C2"/>
    <w:rsid w:val="008B5F5C"/>
    <w:rsid w:val="008C79FF"/>
    <w:rsid w:val="008F1544"/>
    <w:rsid w:val="008F29EA"/>
    <w:rsid w:val="0090078D"/>
    <w:rsid w:val="00920C0E"/>
    <w:rsid w:val="0093224E"/>
    <w:rsid w:val="009371D6"/>
    <w:rsid w:val="00940322"/>
    <w:rsid w:val="00943727"/>
    <w:rsid w:val="0095067A"/>
    <w:rsid w:val="00977B17"/>
    <w:rsid w:val="009D1E93"/>
    <w:rsid w:val="009E78C7"/>
    <w:rsid w:val="00A0116E"/>
    <w:rsid w:val="00A1165B"/>
    <w:rsid w:val="00A14363"/>
    <w:rsid w:val="00A3750A"/>
    <w:rsid w:val="00A40EED"/>
    <w:rsid w:val="00A55781"/>
    <w:rsid w:val="00A5655C"/>
    <w:rsid w:val="00A626DA"/>
    <w:rsid w:val="00A67CDC"/>
    <w:rsid w:val="00AD504B"/>
    <w:rsid w:val="00AD78DD"/>
    <w:rsid w:val="00AE32D2"/>
    <w:rsid w:val="00AE35CE"/>
    <w:rsid w:val="00AF195A"/>
    <w:rsid w:val="00B1555B"/>
    <w:rsid w:val="00B349BF"/>
    <w:rsid w:val="00B34B02"/>
    <w:rsid w:val="00B64D41"/>
    <w:rsid w:val="00B80DB1"/>
    <w:rsid w:val="00B81E2F"/>
    <w:rsid w:val="00B826B9"/>
    <w:rsid w:val="00B86C52"/>
    <w:rsid w:val="00BA2CD4"/>
    <w:rsid w:val="00BB27EC"/>
    <w:rsid w:val="00BC6746"/>
    <w:rsid w:val="00BD309E"/>
    <w:rsid w:val="00BE10F9"/>
    <w:rsid w:val="00BE2521"/>
    <w:rsid w:val="00BE5297"/>
    <w:rsid w:val="00BF3D93"/>
    <w:rsid w:val="00C03151"/>
    <w:rsid w:val="00C1266F"/>
    <w:rsid w:val="00C25CFE"/>
    <w:rsid w:val="00C41E06"/>
    <w:rsid w:val="00C73FFA"/>
    <w:rsid w:val="00C827F6"/>
    <w:rsid w:val="00CA5E9F"/>
    <w:rsid w:val="00CB05F4"/>
    <w:rsid w:val="00CC3D20"/>
    <w:rsid w:val="00CD2384"/>
    <w:rsid w:val="00CE597F"/>
    <w:rsid w:val="00D03F0A"/>
    <w:rsid w:val="00D0416B"/>
    <w:rsid w:val="00D078CD"/>
    <w:rsid w:val="00D304C5"/>
    <w:rsid w:val="00D604E9"/>
    <w:rsid w:val="00D667B8"/>
    <w:rsid w:val="00D721A6"/>
    <w:rsid w:val="00DA151C"/>
    <w:rsid w:val="00DA59AB"/>
    <w:rsid w:val="00DB62D5"/>
    <w:rsid w:val="00DD49D4"/>
    <w:rsid w:val="00DE2FA7"/>
    <w:rsid w:val="00E00CAC"/>
    <w:rsid w:val="00E039A0"/>
    <w:rsid w:val="00E43BC0"/>
    <w:rsid w:val="00E65F47"/>
    <w:rsid w:val="00E90B0A"/>
    <w:rsid w:val="00E90C5D"/>
    <w:rsid w:val="00EA403C"/>
    <w:rsid w:val="00EB04BF"/>
    <w:rsid w:val="00EB35E1"/>
    <w:rsid w:val="00EC362C"/>
    <w:rsid w:val="00EF48C0"/>
    <w:rsid w:val="00F01F0A"/>
    <w:rsid w:val="00F04D73"/>
    <w:rsid w:val="00F163D3"/>
    <w:rsid w:val="00F23AB2"/>
    <w:rsid w:val="00F4489B"/>
    <w:rsid w:val="00F57703"/>
    <w:rsid w:val="00F61380"/>
    <w:rsid w:val="00F77937"/>
    <w:rsid w:val="00F82D46"/>
    <w:rsid w:val="00F874C9"/>
    <w:rsid w:val="00F95939"/>
    <w:rsid w:val="00FA122E"/>
    <w:rsid w:val="00FA16A2"/>
    <w:rsid w:val="00FA2C3C"/>
    <w:rsid w:val="00FB0A5F"/>
    <w:rsid w:val="00FB45CF"/>
    <w:rsid w:val="00FC08B1"/>
    <w:rsid w:val="00FC6CB5"/>
    <w:rsid w:val="00FE5A7A"/>
    <w:rsid w:val="00FF6D6F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D38-E9C3-4AD9-9E78-C590C1DD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1165B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paragraph" w:styleId="Antrat1">
    <w:name w:val="heading 1"/>
    <w:basedOn w:val="prastasis"/>
    <w:next w:val="prastasis"/>
    <w:qFormat/>
    <w:rsid w:val="00A1165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rsid w:val="00A1165B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0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  <w:rsid w:val="00A1165B"/>
  </w:style>
  <w:style w:type="character" w:customStyle="1" w:styleId="Numeravimosimboliai">
    <w:name w:val="Numeravimo simboliai"/>
    <w:rsid w:val="00A1165B"/>
  </w:style>
  <w:style w:type="character" w:customStyle="1" w:styleId="enkleliai">
    <w:name w:val="Ženkleliai"/>
    <w:rsid w:val="00A1165B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  <w:rsid w:val="00A1165B"/>
  </w:style>
  <w:style w:type="character" w:customStyle="1" w:styleId="WW-Absatz-Standardschriftart">
    <w:name w:val="WW-Absatz-Standardschriftart"/>
    <w:rsid w:val="00A1165B"/>
  </w:style>
  <w:style w:type="character" w:customStyle="1" w:styleId="WW-Absatz-Standardschriftart1">
    <w:name w:val="WW-Absatz-Standardschriftart1"/>
    <w:rsid w:val="00A1165B"/>
  </w:style>
  <w:style w:type="character" w:customStyle="1" w:styleId="WW-Absatz-Standardschriftart11">
    <w:name w:val="WW-Absatz-Standardschriftart11"/>
    <w:rsid w:val="00A1165B"/>
  </w:style>
  <w:style w:type="character" w:customStyle="1" w:styleId="WW-Absatz-Standardschriftart111">
    <w:name w:val="WW-Absatz-Standardschriftart111"/>
    <w:rsid w:val="00A1165B"/>
  </w:style>
  <w:style w:type="character" w:customStyle="1" w:styleId="WW-Absatz-Standardschriftart1111">
    <w:name w:val="WW-Absatz-Standardschriftart1111"/>
    <w:rsid w:val="00A1165B"/>
  </w:style>
  <w:style w:type="character" w:customStyle="1" w:styleId="WW-Absatz-Standardschriftart11111">
    <w:name w:val="WW-Absatz-Standardschriftart11111"/>
    <w:rsid w:val="00A1165B"/>
  </w:style>
  <w:style w:type="character" w:customStyle="1" w:styleId="WW-Absatz-Standardschriftart111111">
    <w:name w:val="WW-Absatz-Standardschriftart111111"/>
    <w:rsid w:val="00A1165B"/>
  </w:style>
  <w:style w:type="character" w:customStyle="1" w:styleId="WW-Absatz-Standardschriftart1111111">
    <w:name w:val="WW-Absatz-Standardschriftart1111111"/>
    <w:rsid w:val="00A1165B"/>
  </w:style>
  <w:style w:type="character" w:customStyle="1" w:styleId="WW-Absatz-Standardschriftart11111111">
    <w:name w:val="WW-Absatz-Standardschriftart11111111"/>
    <w:rsid w:val="00A1165B"/>
  </w:style>
  <w:style w:type="character" w:customStyle="1" w:styleId="WW-Absatz-Standardschriftart111111111">
    <w:name w:val="WW-Absatz-Standardschriftart111111111"/>
    <w:rsid w:val="00A1165B"/>
  </w:style>
  <w:style w:type="character" w:customStyle="1" w:styleId="WW-Absatz-Standardschriftart1111111111">
    <w:name w:val="WW-Absatz-Standardschriftart1111111111"/>
    <w:rsid w:val="00A1165B"/>
  </w:style>
  <w:style w:type="character" w:customStyle="1" w:styleId="WW-Absatz-Standardschriftart11111111111">
    <w:name w:val="WW-Absatz-Standardschriftart11111111111"/>
    <w:rsid w:val="00A1165B"/>
  </w:style>
  <w:style w:type="character" w:customStyle="1" w:styleId="WW-Numeravimosimboliai">
    <w:name w:val="WW-Numeravimo simboliai"/>
    <w:rsid w:val="00A1165B"/>
  </w:style>
  <w:style w:type="character" w:customStyle="1" w:styleId="WW-Numeravimosimboliai1">
    <w:name w:val="WW-Numeravimo simboliai1"/>
    <w:rsid w:val="00A1165B"/>
  </w:style>
  <w:style w:type="character" w:customStyle="1" w:styleId="WW-Numeravimosimboliai11">
    <w:name w:val="WW-Numeravimo simboliai11"/>
    <w:rsid w:val="00A1165B"/>
  </w:style>
  <w:style w:type="character" w:customStyle="1" w:styleId="WW-Numeravimosimboliai111">
    <w:name w:val="WW-Numeravimo simboliai111"/>
    <w:rsid w:val="00A1165B"/>
  </w:style>
  <w:style w:type="character" w:customStyle="1" w:styleId="WW-Numeravimosimboliai1111">
    <w:name w:val="WW-Numeravimo simboliai1111"/>
    <w:rsid w:val="00A1165B"/>
  </w:style>
  <w:style w:type="character" w:customStyle="1" w:styleId="WW-Numeravimosimboliai11111">
    <w:name w:val="WW-Numeravimo simboliai11111"/>
    <w:rsid w:val="00A1165B"/>
  </w:style>
  <w:style w:type="character" w:customStyle="1" w:styleId="WW-Numeravimosimboliai111111">
    <w:name w:val="WW-Numeravimo simboliai111111"/>
    <w:rsid w:val="00A1165B"/>
  </w:style>
  <w:style w:type="character" w:customStyle="1" w:styleId="WW-Numeravimosimboliai1111111">
    <w:name w:val="WW-Numeravimo simboliai1111111"/>
    <w:rsid w:val="00A1165B"/>
  </w:style>
  <w:style w:type="character" w:customStyle="1" w:styleId="WW-Numeravimosimboliai11111111">
    <w:name w:val="WW-Numeravimo simboliai11111111"/>
    <w:rsid w:val="00A1165B"/>
  </w:style>
  <w:style w:type="character" w:customStyle="1" w:styleId="WW-Numeravimosimboliai111111111">
    <w:name w:val="WW-Numeravimo simboliai111111111"/>
    <w:rsid w:val="00A1165B"/>
  </w:style>
  <w:style w:type="character" w:customStyle="1" w:styleId="WW-Numeravimosimboliai1111111111">
    <w:name w:val="WW-Numeravimo simboliai1111111111"/>
    <w:rsid w:val="00A1165B"/>
  </w:style>
  <w:style w:type="character" w:customStyle="1" w:styleId="WW-Numeravimosimboliai11111111111">
    <w:name w:val="WW-Numeravimo simboliai11111111111"/>
    <w:rsid w:val="00A1165B"/>
  </w:style>
  <w:style w:type="character" w:customStyle="1" w:styleId="WW-enklinimosimboliai">
    <w:name w:val="WW-Ženklinimo simboliai"/>
    <w:rsid w:val="00A1165B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sid w:val="00A1165B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sid w:val="00A1165B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sid w:val="00A1165B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sid w:val="00A1165B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sid w:val="00A1165B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sid w:val="00A1165B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sid w:val="00A1165B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sid w:val="00A1165B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sid w:val="00A1165B"/>
    <w:rPr>
      <w:rFonts w:ascii="StarSymbol" w:eastAsia="StarSymbol" w:hAnsi="StarSymbol"/>
      <w:sz w:val="18"/>
    </w:rPr>
  </w:style>
  <w:style w:type="paragraph" w:customStyle="1" w:styleId="Antrat10">
    <w:name w:val="Antraštė1"/>
    <w:basedOn w:val="prastasis"/>
    <w:next w:val="Tekstas"/>
    <w:rsid w:val="00A1165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ekstas">
    <w:name w:val="Tekstas"/>
    <w:basedOn w:val="prastasis"/>
    <w:rsid w:val="00A1165B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Pagrindinistekstas"/>
    <w:rsid w:val="00A116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rsid w:val="00A1165B"/>
    <w:pPr>
      <w:spacing w:after="120"/>
    </w:pPr>
  </w:style>
  <w:style w:type="paragraph" w:styleId="Sraas">
    <w:name w:val="List"/>
    <w:basedOn w:val="Tekstas"/>
    <w:semiHidden/>
    <w:rsid w:val="00A1165B"/>
    <w:rPr>
      <w:rFonts w:ascii="Times New Roman" w:hAnsi="Times New Roman"/>
    </w:rPr>
  </w:style>
  <w:style w:type="paragraph" w:customStyle="1" w:styleId="Kadroturinys">
    <w:name w:val="Kadro turinys"/>
    <w:basedOn w:val="Tekstas"/>
    <w:rsid w:val="00A1165B"/>
  </w:style>
  <w:style w:type="paragraph" w:customStyle="1" w:styleId="Rodykl">
    <w:name w:val="Rodyklė"/>
    <w:basedOn w:val="prastasis"/>
    <w:rsid w:val="00A1165B"/>
    <w:pPr>
      <w:suppressLineNumbers/>
    </w:pPr>
    <w:rPr>
      <w:rFonts w:ascii="Times New Roman" w:hAnsi="Times New Roman"/>
    </w:rPr>
  </w:style>
  <w:style w:type="paragraph" w:styleId="Paantrat">
    <w:name w:val="Subtitle"/>
    <w:basedOn w:val="Antrat10"/>
    <w:next w:val="Pagrindinistekstas"/>
    <w:qFormat/>
    <w:rsid w:val="00A1165B"/>
    <w:pPr>
      <w:jc w:val="center"/>
    </w:pPr>
    <w:rPr>
      <w:iCs/>
      <w:sz w:val="28"/>
      <w:szCs w:val="28"/>
    </w:rPr>
  </w:style>
  <w:style w:type="paragraph" w:styleId="Porat">
    <w:name w:val="footer"/>
    <w:basedOn w:val="prastasis"/>
    <w:semiHidden/>
    <w:rsid w:val="00A1165B"/>
    <w:pPr>
      <w:suppressLineNumbers/>
      <w:tabs>
        <w:tab w:val="center" w:pos="5385"/>
        <w:tab w:val="right" w:pos="10771"/>
      </w:tabs>
    </w:pPr>
  </w:style>
  <w:style w:type="table" w:styleId="Lentelstinklelis">
    <w:name w:val="Table Grid"/>
    <w:basedOn w:val="prastojilentel"/>
    <w:uiPriority w:val="59"/>
    <w:rsid w:val="00EB35E1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1C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1C2"/>
    <w:rPr>
      <w:rFonts w:ascii="Tahoma" w:eastAsia="HG Mincho Light J" w:hAnsi="Tahoma" w:cs="Tahoma"/>
      <w:color w:val="000000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unhideWhenUsed/>
    <w:rsid w:val="006D2E2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0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/>
    </w:rPr>
  </w:style>
  <w:style w:type="paragraph" w:styleId="Betarp">
    <w:name w:val="No Spacing"/>
    <w:uiPriority w:val="1"/>
    <w:qFormat/>
    <w:rsid w:val="00A40EE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430085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430085"/>
    <w:rPr>
      <w:i/>
      <w:iCs/>
    </w:rPr>
  </w:style>
  <w:style w:type="character" w:styleId="Grietas">
    <w:name w:val="Strong"/>
    <w:basedOn w:val="Numatytasispastraiposriftas"/>
    <w:uiPriority w:val="22"/>
    <w:qFormat/>
    <w:rsid w:val="00087229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B81E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1E2F"/>
    <w:rPr>
      <w:rFonts w:ascii="Thorndale" w:eastAsia="HG Mincho Light J" w:hAnsi="Thorndale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BDCA-A2C7-4244-956A-CD8A516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Siauliu m. savivaldybe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V.Valančienė</dc:creator>
  <cp:lastModifiedBy>Violeta Valančienė</cp:lastModifiedBy>
  <cp:revision>2</cp:revision>
  <cp:lastPrinted>2018-02-01T09:29:00Z</cp:lastPrinted>
  <dcterms:created xsi:type="dcterms:W3CDTF">2020-03-13T10:36:00Z</dcterms:created>
  <dcterms:modified xsi:type="dcterms:W3CDTF">2020-03-13T10:36:00Z</dcterms:modified>
</cp:coreProperties>
</file>