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"/>
        <w:gridCol w:w="15"/>
        <w:gridCol w:w="15"/>
        <w:gridCol w:w="9575"/>
        <w:gridCol w:w="10"/>
      </w:tblGrid>
      <w:tr w:rsidR="00332E4B" w:rsidTr="00332E4B">
        <w:tc>
          <w:tcPr>
            <w:tcW w:w="9070" w:type="dxa"/>
            <w:gridSpan w:val="4"/>
          </w:tcPr>
          <w:tbl>
            <w:tblPr>
              <w:tblW w:w="9639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548"/>
            </w:tblGrid>
            <w:tr w:rsidR="00332E4B" w:rsidTr="00332E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4D7973" w:rsidTr="00332E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>
                  <w:r>
                    <w:rPr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4D7973" w:rsidTr="00332E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direktoriaus 2021 m. kovo  17  d.</w:t>
                  </w:r>
                </w:p>
              </w:tc>
            </w:tr>
            <w:tr w:rsidR="004D7973" w:rsidTr="00332E4B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/>
              </w:tc>
              <w:tc>
                <w:tcPr>
                  <w:tcW w:w="454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4D7973" w:rsidRDefault="004D7973" w:rsidP="004D7973">
                  <w:pPr>
                    <w:rPr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įsakymu Nr. AP</w:t>
                  </w:r>
                  <w:r>
                    <w:rPr>
                      <w:color w:val="000000"/>
                      <w:sz w:val="24"/>
                    </w:rPr>
                    <w:t>–</w:t>
                  </w:r>
                  <w:r>
                    <w:rPr>
                      <w:color w:val="000000"/>
                      <w:sz w:val="24"/>
                      <w:szCs w:val="24"/>
                    </w:rPr>
                    <w:t>522</w:t>
                  </w:r>
                </w:p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BENDRŲJŲ REIKALŲ SKYRIAUS</w:t>
                  </w:r>
                </w:p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INFORMACINIŲ TECHNOLOGIJŲ POSKYRIO</w:t>
                  </w:r>
                </w:p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VYRIAUSI</w:t>
                  </w:r>
                  <w:r w:rsidR="00332E4B">
                    <w:rPr>
                      <w:b/>
                      <w:color w:val="000000"/>
                      <w:sz w:val="24"/>
                    </w:rPr>
                    <w:t>OJO</w:t>
                  </w:r>
                  <w:r>
                    <w:rPr>
                      <w:b/>
                      <w:color w:val="000000"/>
                      <w:sz w:val="24"/>
                    </w:rPr>
                    <w:t xml:space="preserve"> SPECIALIST</w:t>
                  </w:r>
                  <w:r w:rsidR="00332E4B">
                    <w:rPr>
                      <w:b/>
                      <w:color w:val="000000"/>
                      <w:sz w:val="24"/>
                    </w:rPr>
                    <w:t>O</w:t>
                  </w:r>
                </w:p>
              </w:tc>
            </w:tr>
            <w:tr w:rsidR="00332E4B" w:rsidTr="00332E4B">
              <w:trPr>
                <w:trHeight w:val="260"/>
              </w:trPr>
              <w:tc>
                <w:tcPr>
                  <w:tcW w:w="9639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390004" w:rsidRDefault="00390004"/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90004">
        <w:trPr>
          <w:trHeight w:val="349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CHARAKTERISTIKA</w:t>
                  </w:r>
                </w:p>
              </w:tc>
            </w:tr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1. Pareigybės lygmuo – IX pareigybės lygmuo.</w:t>
                  </w:r>
                </w:p>
              </w:tc>
            </w:tr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2. Šias pareigas einantis valstybės tarnautojas tiesiogiai pavaldus poskyrio vedėjui.</w:t>
                  </w:r>
                </w:p>
              </w:tc>
            </w:tr>
          </w:tbl>
          <w:p w:rsidR="00390004" w:rsidRDefault="00390004"/>
        </w:tc>
      </w:tr>
      <w:tr w:rsidR="00390004">
        <w:trPr>
          <w:trHeight w:val="120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VEIKLOS SRITIS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 xml:space="preserve">3.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390004" w:rsidRDefault="00390004"/>
              </w:tc>
            </w:tr>
          </w:tbl>
          <w:p w:rsidR="00390004" w:rsidRDefault="00390004"/>
        </w:tc>
      </w:tr>
      <w:tr w:rsidR="00390004">
        <w:trPr>
          <w:trHeight w:val="126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III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SPECIALIZACIJA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 xml:space="preserve">4.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sistemų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projektavimas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diegimas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priežiūra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ir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plėtra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>.</w:t>
                        </w:r>
                      </w:p>
                    </w:tc>
                  </w:tr>
                </w:tbl>
                <w:p w:rsidR="00390004" w:rsidRDefault="00390004"/>
              </w:tc>
            </w:tr>
          </w:tbl>
          <w:p w:rsidR="00390004" w:rsidRDefault="00390004"/>
        </w:tc>
      </w:tr>
      <w:tr w:rsidR="00390004">
        <w:trPr>
          <w:trHeight w:val="100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IV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FUNKCIJOS</w:t>
                  </w:r>
                </w:p>
              </w:tc>
            </w:tr>
          </w:tbl>
          <w:p w:rsidR="00390004" w:rsidRDefault="00390004"/>
        </w:tc>
      </w:tr>
      <w:tr w:rsidR="00390004">
        <w:trPr>
          <w:trHeight w:val="39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988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  <w:gridCol w:w="408"/>
            </w:tblGrid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5.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>6. Konsultuoja priskirtos srities klausimais.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7. Kuria,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tobulinimą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testavimą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parametrizavimą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priežastis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priežasčių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nustatymą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taikomąją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techninę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taikomosios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programinės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perdavimo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tinklų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įrangos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priežiūrą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administravimą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10.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 arba prireikus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sudėtingais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klausimais rengimą ir teikimą.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886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11. Rengia teisės aktų projektus ir kitus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teisės aktų projektų ir kitų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dėl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kūrimo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diegimo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naudojimo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lastRenderedPageBreak/>
                    <w:t xml:space="preserve">12. Rengia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pasiūlymus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technologijomis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klausimais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13.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arba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pagalbos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apdorojant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panaudojant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bazėse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sistemose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esančią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informaciją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teikimą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gridAfter w:val="1"/>
                <w:wAfter w:w="408" w:type="dxa"/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14.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Vykdo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susijusias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veiklas arba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technologijų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susijusių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veiklų vykdymą.</w:t>
                  </w:r>
                </w:p>
              </w:tc>
            </w:tr>
          </w:tbl>
          <w:p w:rsidR="00390004" w:rsidRDefault="00390004" w:rsidP="00332E4B">
            <w:pPr>
              <w:jc w:val="both"/>
            </w:pPr>
          </w:p>
        </w:tc>
      </w:tr>
      <w:tr w:rsidR="00390004">
        <w:trPr>
          <w:trHeight w:val="20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 w:rsidP="00332E4B">
            <w:pPr>
              <w:pStyle w:val="EmptyLayoutCell"/>
              <w:jc w:val="both"/>
            </w:pPr>
          </w:p>
        </w:tc>
        <w:tc>
          <w:tcPr>
            <w:tcW w:w="1" w:type="dxa"/>
          </w:tcPr>
          <w:p w:rsidR="00390004" w:rsidRDefault="00390004" w:rsidP="00332E4B">
            <w:pPr>
              <w:pStyle w:val="EmptyLayoutCell"/>
              <w:jc w:val="both"/>
            </w:pPr>
          </w:p>
        </w:tc>
        <w:tc>
          <w:tcPr>
            <w:tcW w:w="9055" w:type="dxa"/>
          </w:tcPr>
          <w:p w:rsidR="00390004" w:rsidRDefault="00390004" w:rsidP="00332E4B">
            <w:pPr>
              <w:pStyle w:val="EmptyLayoutCell"/>
              <w:jc w:val="both"/>
            </w:pPr>
          </w:p>
        </w:tc>
        <w:tc>
          <w:tcPr>
            <w:tcW w:w="13" w:type="dxa"/>
          </w:tcPr>
          <w:p w:rsidR="00390004" w:rsidRDefault="00390004" w:rsidP="00332E4B">
            <w:pPr>
              <w:pStyle w:val="EmptyLayoutCell"/>
              <w:jc w:val="both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390004" w:rsidTr="00332E4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15. Koordinuoja ir kontroliuoja Lietuvos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Respublikos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aktų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reglamentuojančių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kibernetinį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saugumą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reikalavimų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įgyvendinimą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laikymąsi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16.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Atlieka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Savivaldybės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informacinės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sistemos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administratoriaus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funkcijas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17.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Prižiūri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tarnybines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stotis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šalina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sutrikimus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bei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organizuoja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duomenų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saugą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nuo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praradimo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ir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konfidencialumo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užtikrinimą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18.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Registruoja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informacinių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sistemų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vartotojus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suteikia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jiems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atitinkamo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lygio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teises</w:t>
                  </w:r>
                  <w:proofErr w:type="spellEnd"/>
                  <w:r>
                    <w:rPr>
                      <w:color w:val="000000"/>
                      <w:sz w:val="24"/>
                    </w:rPr>
                    <w:t>.</w:t>
                  </w:r>
                </w:p>
              </w:tc>
            </w:tr>
            <w:tr w:rsidR="00390004" w:rsidTr="00332E4B">
              <w:trPr>
                <w:trHeight w:val="260"/>
              </w:trPr>
              <w:tc>
                <w:tcPr>
                  <w:tcW w:w="9478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 w:rsidP="00332E4B">
                  <w:pPr>
                    <w:jc w:val="both"/>
                  </w:pPr>
                  <w:r>
                    <w:rPr>
                      <w:color w:val="000000"/>
                      <w:sz w:val="24"/>
                    </w:rPr>
                    <w:t xml:space="preserve">19.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Rengia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prireikus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koordinuoja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konkrečių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viešųjų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pirkimų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4"/>
                    </w:rPr>
                    <w:t>dokumentų</w:t>
                  </w:r>
                  <w:proofErr w:type="spellEnd"/>
                  <w:r>
                    <w:rPr>
                      <w:color w:val="000000"/>
                      <w:sz w:val="24"/>
                    </w:rPr>
                    <w:t xml:space="preserve"> rengimą, kontroliuoja sutarčių vykdymą.</w:t>
                  </w:r>
                </w:p>
              </w:tc>
            </w:tr>
          </w:tbl>
          <w:p w:rsidR="00390004" w:rsidRDefault="00390004" w:rsidP="00332E4B">
            <w:pPr>
              <w:jc w:val="both"/>
            </w:pPr>
          </w:p>
        </w:tc>
      </w:tr>
      <w:tr w:rsidR="00390004">
        <w:trPr>
          <w:trHeight w:val="20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20. Vykdo kitus nenuolatinio pobūdžio su struktūrinio padalinio veikla susijusius pavedimus.</w:t>
                  </w:r>
                </w:p>
              </w:tc>
            </w:tr>
          </w:tbl>
          <w:p w:rsidR="00390004" w:rsidRDefault="00390004"/>
        </w:tc>
      </w:tr>
      <w:tr w:rsidR="00390004">
        <w:trPr>
          <w:trHeight w:val="139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54"/>
            </w:tblGrid>
            <w:tr w:rsidR="00390004" w:rsidTr="00877514">
              <w:trPr>
                <w:trHeight w:val="600"/>
              </w:trPr>
              <w:tc>
                <w:tcPr>
                  <w:tcW w:w="94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SPECIALIEJI REIKALAVIMAI</w:t>
                  </w:r>
                </w:p>
              </w:tc>
            </w:tr>
            <w:tr w:rsidR="00390004" w:rsidTr="00877514">
              <w:trPr>
                <w:trHeight w:val="260"/>
              </w:trPr>
              <w:tc>
                <w:tcPr>
                  <w:tcW w:w="9454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21. Išsilavinimo ir darbo patirties reikalavimai: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 w:rsidTr="00877514">
              <w:trPr>
                <w:trHeight w:val="2721"/>
              </w:trPr>
              <w:tc>
                <w:tcPr>
                  <w:tcW w:w="9454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54"/>
                  </w:tblGrid>
                  <w:tr w:rsidR="00390004">
                    <w:trPr>
                      <w:trHeight w:val="170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 w:rsidP="00332E4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21.2.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informatika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21.3.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studijų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kryptis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informatikos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inžinerija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(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arba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);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>21.4. studijų kryptis – informacijos sistemos (arba);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390004" w:rsidRDefault="00390004"/>
                    </w:tc>
                  </w:tr>
                  <w:tr w:rsidR="00390004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9454" w:type="dxa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454"/>
                        </w:tblGrid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 w:rsidP="00332E4B">
                              <w:pPr>
                                <w:jc w:val="both"/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21.5.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21.6.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darbo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–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informacinių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technologijų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sistemų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kūrimo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ar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diegimo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000000"/>
                                  <w:sz w:val="24"/>
                                </w:rPr>
                                <w:t>patirtis</w:t>
                              </w:r>
                              <w:proofErr w:type="spellEnd"/>
                              <w:r>
                                <w:rPr>
                                  <w:color w:val="000000"/>
                                  <w:sz w:val="24"/>
                                </w:rPr>
                                <w:t>;</w:t>
                              </w:r>
                            </w:p>
                          </w:tc>
                        </w:tr>
                        <w:tr w:rsidR="00390004" w:rsidTr="00332E4B">
                          <w:trPr>
                            <w:trHeight w:val="260"/>
                          </w:trPr>
                          <w:tc>
                            <w:tcPr>
                              <w:tcW w:w="9454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390004" w:rsidRDefault="001161A2">
                              <w:r>
                                <w:rPr>
                                  <w:color w:val="000000"/>
                                  <w:sz w:val="24"/>
                                </w:rPr>
                                <w:t xml:space="preserve">21.7. darbo patirties trukmė – 1 metai. </w:t>
                              </w:r>
                            </w:p>
                          </w:tc>
                        </w:tr>
                      </w:tbl>
                      <w:p w:rsidR="00390004" w:rsidRDefault="00390004"/>
                    </w:tc>
                  </w:tr>
                </w:tbl>
                <w:p w:rsidR="00390004" w:rsidRDefault="00390004"/>
              </w:tc>
            </w:tr>
          </w:tbl>
          <w:p w:rsidR="00390004" w:rsidRDefault="00390004"/>
        </w:tc>
      </w:tr>
      <w:tr w:rsidR="00390004">
        <w:trPr>
          <w:trHeight w:val="62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390004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 SKYRIUS</w:t>
                  </w:r>
                </w:p>
                <w:p w:rsidR="00390004" w:rsidRDefault="001161A2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KOMPETENCIJOS</w:t>
                  </w:r>
                </w:p>
              </w:tc>
            </w:tr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</w:t>
                  </w:r>
                  <w:r w:rsidR="00877514">
                    <w:rPr>
                      <w:color w:val="000000"/>
                      <w:sz w:val="24"/>
                    </w:rPr>
                    <w:t>2</w:t>
                  </w:r>
                  <w:r>
                    <w:rPr>
                      <w:color w:val="000000"/>
                      <w:sz w:val="24"/>
                    </w:rPr>
                    <w:t>. Bendrosios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</w:rPr>
                          <w:t>.1. vertės visuomenei kūrimas – 3;</w:t>
                        </w:r>
                      </w:p>
                    </w:tc>
                  </w:tr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</w:rPr>
                          <w:t>.2. organizuotumas – 3;</w:t>
                        </w:r>
                      </w:p>
                    </w:tc>
                  </w:tr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</w:rPr>
                          <w:t>.3. patikimumas ir atsakingumas – 3;</w:t>
                        </w:r>
                      </w:p>
                    </w:tc>
                  </w:tr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</w:rPr>
                          <w:t>.4. analizė ir pagrindimas – 4;</w:t>
                        </w:r>
                      </w:p>
                    </w:tc>
                  </w:tr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2</w:t>
                        </w:r>
                        <w:r>
                          <w:rPr>
                            <w:color w:val="000000"/>
                            <w:sz w:val="24"/>
                          </w:rPr>
                          <w:t>.5. komunikacija – 3.</w:t>
                        </w:r>
                      </w:p>
                    </w:tc>
                  </w:tr>
                </w:tbl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</w:t>
                  </w:r>
                  <w:r w:rsidR="00877514">
                    <w:rPr>
                      <w:color w:val="000000"/>
                      <w:sz w:val="24"/>
                    </w:rPr>
                    <w:t>3</w:t>
                  </w:r>
                  <w:r>
                    <w:rPr>
                      <w:color w:val="000000"/>
                      <w:sz w:val="24"/>
                    </w:rPr>
                    <w:t>. Specifinės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color w:val="000000"/>
                            <w:sz w:val="24"/>
                          </w:rPr>
                          <w:t>.1. įžvalgumas – 3;</w:t>
                        </w:r>
                      </w:p>
                    </w:tc>
                  </w:tr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3</w:t>
                        </w:r>
                        <w:r>
                          <w:rPr>
                            <w:color w:val="000000"/>
                            <w:sz w:val="24"/>
                          </w:rPr>
                          <w:t>.2. informacijos valdymas – 3.</w:t>
                        </w:r>
                      </w:p>
                    </w:tc>
                  </w:tr>
                </w:tbl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2</w:t>
                  </w:r>
                  <w:r w:rsidR="00877514">
                    <w:rPr>
                      <w:color w:val="000000"/>
                      <w:sz w:val="24"/>
                    </w:rPr>
                    <w:t>4</w:t>
                  </w:r>
                  <w:r>
                    <w:rPr>
                      <w:color w:val="000000"/>
                      <w:sz w:val="24"/>
                    </w:rPr>
                    <w:t>. Profesinės kompetencijos ir jų pakankami lygiai:</w:t>
                  </w:r>
                  <w:r>
                    <w:rPr>
                      <w:color w:val="FFFFFF"/>
                      <w:sz w:val="24"/>
                    </w:rPr>
                    <w:t>0</w:t>
                  </w:r>
                </w:p>
              </w:tc>
            </w:tr>
            <w:tr w:rsidR="00390004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390004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390004" w:rsidRDefault="001161A2">
                        <w:r>
                          <w:rPr>
                            <w:color w:val="000000"/>
                            <w:sz w:val="24"/>
                          </w:rPr>
                          <w:t>2</w:t>
                        </w:r>
                        <w:r w:rsidR="00877514">
                          <w:rPr>
                            <w:color w:val="000000"/>
                            <w:sz w:val="24"/>
                          </w:rPr>
                          <w:t>4</w:t>
                        </w:r>
                        <w:bookmarkStart w:id="0" w:name="_GoBack"/>
                        <w:bookmarkEnd w:id="0"/>
                        <w:r>
                          <w:rPr>
                            <w:color w:val="000000"/>
                            <w:sz w:val="24"/>
                          </w:rPr>
                          <w:t xml:space="preserve">.1.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informacinių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technologijų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000000"/>
                            <w:sz w:val="24"/>
                          </w:rPr>
                          <w:t>valdymas</w:t>
                        </w:r>
                        <w:proofErr w:type="spellEnd"/>
                        <w:r>
                          <w:rPr>
                            <w:color w:val="000000"/>
                            <w:sz w:val="24"/>
                          </w:rPr>
                          <w:t xml:space="preserve"> – 3.</w:t>
                        </w:r>
                      </w:p>
                    </w:tc>
                  </w:tr>
                </w:tbl>
                <w:p w:rsidR="00390004" w:rsidRDefault="00390004"/>
              </w:tc>
            </w:tr>
          </w:tbl>
          <w:p w:rsidR="00390004" w:rsidRDefault="00390004"/>
        </w:tc>
      </w:tr>
      <w:tr w:rsidR="00390004">
        <w:trPr>
          <w:trHeight w:val="517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  <w:tr w:rsidR="00332E4B" w:rsidTr="00332E4B"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3900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  <w:sz w:val="24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1161A2">
                  <w:r>
                    <w:rPr>
                      <w:color w:val="000000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  <w:tr w:rsidR="00390004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390004" w:rsidRDefault="00390004"/>
              </w:tc>
            </w:tr>
          </w:tbl>
          <w:p w:rsidR="00390004" w:rsidRDefault="00390004"/>
        </w:tc>
      </w:tr>
      <w:tr w:rsidR="00390004">
        <w:trPr>
          <w:trHeight w:val="41"/>
        </w:trPr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9055" w:type="dxa"/>
          </w:tcPr>
          <w:p w:rsidR="00390004" w:rsidRDefault="00390004">
            <w:pPr>
              <w:pStyle w:val="EmptyLayoutCell"/>
            </w:pPr>
          </w:p>
        </w:tc>
        <w:tc>
          <w:tcPr>
            <w:tcW w:w="13" w:type="dxa"/>
          </w:tcPr>
          <w:p w:rsidR="00390004" w:rsidRDefault="00390004">
            <w:pPr>
              <w:pStyle w:val="EmptyLayoutCell"/>
            </w:pPr>
          </w:p>
        </w:tc>
      </w:tr>
    </w:tbl>
    <w:p w:rsidR="001161A2" w:rsidRDefault="001161A2"/>
    <w:sectPr w:rsidR="001161A2" w:rsidSect="00332E4B">
      <w:pgSz w:w="11905" w:h="16837"/>
      <w:pgMar w:top="99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4B"/>
    <w:rsid w:val="001161A2"/>
    <w:rsid w:val="00332E4B"/>
    <w:rsid w:val="00390004"/>
    <w:rsid w:val="004D7973"/>
    <w:rsid w:val="0087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6BEF7A"/>
  <w15:chartTrackingRefBased/>
  <w15:docId w15:val="{11D9134F-A818-4A39-A163-B282248DA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3031</Words>
  <Characters>1728</Characters>
  <Application>Microsoft Office Word</Application>
  <DocSecurity>0</DocSecurity>
  <Lines>14</Lines>
  <Paragraphs>9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PAR_Spausdinimas</vt:lpstr>
    </vt:vector>
  </TitlesOfParts>
  <Company/>
  <LinksUpToDate>false</LinksUpToDate>
  <CharactersWithSpaces>4750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Vytautas N</dc:creator>
  <cp:keywords/>
  <cp:lastModifiedBy>Miglė Barzelienė</cp:lastModifiedBy>
  <cp:revision>2</cp:revision>
  <dcterms:created xsi:type="dcterms:W3CDTF">2021-08-23T08:19:00Z</dcterms:created>
  <dcterms:modified xsi:type="dcterms:W3CDTF">2021-08-23T08:19:00Z</dcterms:modified>
</cp:coreProperties>
</file>