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C5348F" w:rsidTr="00C5348F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C5348F" w:rsidTr="00C5348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Default="00FF4453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Default="000E34CB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C5348F" w:rsidTr="00C5348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5348F" w:rsidRDefault="00C5348F" w:rsidP="00C5348F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5348F" w:rsidRPr="0023719A" w:rsidRDefault="00C5348F" w:rsidP="00C5348F">
                  <w:pPr>
                    <w:rPr>
                      <w:lang w:val="lt-LT"/>
                    </w:rPr>
                  </w:pPr>
                  <w:r w:rsidRPr="0023719A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C5348F" w:rsidTr="00C5348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5348F" w:rsidRDefault="00C5348F" w:rsidP="00C5348F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5348F" w:rsidRPr="0023719A" w:rsidRDefault="00C5348F" w:rsidP="00C5348F">
                  <w:pPr>
                    <w:rPr>
                      <w:lang w:val="lt-LT"/>
                    </w:rPr>
                  </w:pPr>
                  <w:r w:rsidRPr="0023719A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2</w:t>
                  </w:r>
                  <w:r w:rsidRPr="0023719A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lapkričio </w:t>
                  </w:r>
                  <w:r w:rsidR="000E34CB">
                    <w:rPr>
                      <w:sz w:val="24"/>
                      <w:szCs w:val="24"/>
                      <w:lang w:val="lt-LT"/>
                    </w:rPr>
                    <w:t>29</w:t>
                  </w:r>
                  <w:r w:rsidRPr="0023719A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C5348F" w:rsidTr="00C5348F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5348F" w:rsidRDefault="00C5348F" w:rsidP="00C5348F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C5348F" w:rsidRPr="0023719A" w:rsidRDefault="00C5348F" w:rsidP="00C5348F">
                  <w:pPr>
                    <w:rPr>
                      <w:lang w:val="lt-LT"/>
                    </w:rPr>
                  </w:pPr>
                  <w:r w:rsidRPr="0023719A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23719A">
                    <w:rPr>
                      <w:color w:val="000000"/>
                      <w:sz w:val="24"/>
                      <w:lang w:val="lt-LT"/>
                    </w:rPr>
                    <w:t>–</w:t>
                  </w:r>
                  <w:r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  <w:r w:rsidR="000E34CB">
                    <w:rPr>
                      <w:color w:val="000000"/>
                      <w:sz w:val="24"/>
                      <w:lang w:val="lt-LT"/>
                    </w:rPr>
                    <w:t>1145</w:t>
                  </w:r>
                </w:p>
              </w:tc>
            </w:tr>
            <w:tr w:rsidR="00C5348F" w:rsidTr="00C5348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Default="00FF4453"/>
              </w:tc>
            </w:tr>
            <w:tr w:rsidR="00C5348F" w:rsidTr="00C5348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Default="000E34C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C5348F" w:rsidTr="00C5348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Default="000E34C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TEISĖS SKYRI</w:t>
                  </w:r>
                  <w:r w:rsidR="00C5348F">
                    <w:rPr>
                      <w:b/>
                      <w:color w:val="000000"/>
                      <w:sz w:val="24"/>
                    </w:rPr>
                    <w:t>A</w:t>
                  </w:r>
                  <w:r>
                    <w:rPr>
                      <w:b/>
                      <w:color w:val="000000"/>
                      <w:sz w:val="24"/>
                    </w:rPr>
                    <w:t>US</w:t>
                  </w:r>
                </w:p>
              </w:tc>
            </w:tr>
            <w:tr w:rsidR="00C5348F" w:rsidTr="00C5348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Default="000E34CB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VIEŠŲJŲ PIRKIMŲ POSKYRIO</w:t>
                  </w:r>
                  <w:r w:rsidR="00C5348F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C5348F" w:rsidTr="00C5348F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Default="00C5348F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FF4453" w:rsidRDefault="00FF4453"/>
        </w:tc>
        <w:tc>
          <w:tcPr>
            <w:tcW w:w="13" w:type="dxa"/>
          </w:tcPr>
          <w:p w:rsidR="00FF4453" w:rsidRDefault="00FF4453">
            <w:pPr>
              <w:pStyle w:val="EmptyLayoutCell"/>
            </w:pPr>
          </w:p>
        </w:tc>
      </w:tr>
      <w:tr w:rsidR="00FF4453">
        <w:trPr>
          <w:trHeight w:val="349"/>
        </w:trPr>
        <w:tc>
          <w:tcPr>
            <w:tcW w:w="13" w:type="dxa"/>
          </w:tcPr>
          <w:p w:rsidR="00FF4453" w:rsidRDefault="00FF4453">
            <w:pPr>
              <w:pStyle w:val="EmptyLayoutCell"/>
            </w:pPr>
          </w:p>
        </w:tc>
        <w:tc>
          <w:tcPr>
            <w:tcW w:w="1" w:type="dxa"/>
          </w:tcPr>
          <w:p w:rsidR="00FF4453" w:rsidRDefault="00FF4453">
            <w:pPr>
              <w:pStyle w:val="EmptyLayoutCell"/>
            </w:pPr>
          </w:p>
        </w:tc>
        <w:tc>
          <w:tcPr>
            <w:tcW w:w="1" w:type="dxa"/>
          </w:tcPr>
          <w:p w:rsidR="00FF4453" w:rsidRDefault="00FF4453">
            <w:pPr>
              <w:pStyle w:val="EmptyLayoutCell"/>
            </w:pPr>
          </w:p>
        </w:tc>
        <w:tc>
          <w:tcPr>
            <w:tcW w:w="9055" w:type="dxa"/>
          </w:tcPr>
          <w:p w:rsidR="00FF4453" w:rsidRDefault="00FF4453">
            <w:pPr>
              <w:pStyle w:val="EmptyLayoutCell"/>
            </w:pPr>
          </w:p>
        </w:tc>
        <w:tc>
          <w:tcPr>
            <w:tcW w:w="13" w:type="dxa"/>
          </w:tcPr>
          <w:p w:rsidR="00FF4453" w:rsidRDefault="00FF4453">
            <w:pPr>
              <w:pStyle w:val="EmptyLayoutCell"/>
            </w:pPr>
          </w:p>
        </w:tc>
      </w:tr>
      <w:tr w:rsidR="00C5348F" w:rsidRPr="00C5348F" w:rsidTr="00C5348F"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F4453" w:rsidRPr="00C5348F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 xml:space="preserve">I </w:t>
                  </w: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SKYRIUS</w:t>
                  </w:r>
                </w:p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1. Pareigybės lygmuo – VII pareigybės lygmuo.</w:t>
                  </w: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skyriaus vedėjui.</w:t>
                  </w:r>
                </w:p>
              </w:tc>
            </w:tr>
          </w:tbl>
          <w:p w:rsidR="00FF4453" w:rsidRPr="00C5348F" w:rsidRDefault="00FF4453">
            <w:pPr>
              <w:rPr>
                <w:lang w:val="lt-LT"/>
              </w:rPr>
            </w:pPr>
          </w:p>
        </w:tc>
      </w:tr>
      <w:tr w:rsidR="00FF4453" w:rsidRPr="00C5348F">
        <w:trPr>
          <w:trHeight w:val="120"/>
        </w:trPr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</w:tr>
      <w:tr w:rsidR="00C5348F" w:rsidRPr="00C5348F" w:rsidTr="00C5348F"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F4453" w:rsidRPr="00C5348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C5348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F4453" w:rsidRPr="00C5348F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3. Priežiūra ir kontrolė.</w:t>
                        </w:r>
                      </w:p>
                    </w:tc>
                  </w:tr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 xml:space="preserve">4. Stebėsena ir </w:t>
                        </w: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analizė.</w:t>
                        </w:r>
                      </w:p>
                    </w:tc>
                  </w:tr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5. Viešieji pirkimai.</w:t>
                        </w:r>
                      </w:p>
                    </w:tc>
                  </w:tr>
                </w:tbl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</w:tbl>
          <w:p w:rsidR="00FF4453" w:rsidRPr="00C5348F" w:rsidRDefault="00FF4453">
            <w:pPr>
              <w:rPr>
                <w:lang w:val="lt-LT"/>
              </w:rPr>
            </w:pPr>
          </w:p>
        </w:tc>
      </w:tr>
      <w:tr w:rsidR="00FF4453" w:rsidRPr="00C5348F">
        <w:trPr>
          <w:trHeight w:val="126"/>
        </w:trPr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</w:tr>
      <w:tr w:rsidR="00C5348F" w:rsidRPr="00C5348F" w:rsidTr="00C5348F"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F4453" w:rsidRPr="00C5348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C5348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F4453" w:rsidRPr="00C5348F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6. Viešųjų pirkimų proceso organizavimo vidinė priežiūra ir kontrolė.</w:t>
                        </w:r>
                      </w:p>
                    </w:tc>
                  </w:tr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7. Viešieji pirkimai.</w:t>
                        </w:r>
                      </w:p>
                    </w:tc>
                  </w:tr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8. Viešųjų pirkimų koordinavimas, kontrolė, konsultacijos.</w:t>
                        </w:r>
                      </w:p>
                    </w:tc>
                  </w:tr>
                </w:tbl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</w:tbl>
          <w:p w:rsidR="00FF4453" w:rsidRPr="00C5348F" w:rsidRDefault="00FF4453">
            <w:pPr>
              <w:rPr>
                <w:lang w:val="lt-LT"/>
              </w:rPr>
            </w:pPr>
          </w:p>
        </w:tc>
      </w:tr>
      <w:tr w:rsidR="00FF4453" w:rsidRPr="00C5348F">
        <w:trPr>
          <w:trHeight w:val="100"/>
        </w:trPr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</w:tr>
      <w:tr w:rsidR="00C5348F" w:rsidRPr="00C5348F" w:rsidTr="00C5348F"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F4453" w:rsidRPr="00C5348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 xml:space="preserve">IV </w:t>
                  </w: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SKYRIUS</w:t>
                  </w:r>
                </w:p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:rsidR="00FF4453" w:rsidRPr="00C5348F" w:rsidRDefault="00FF4453">
            <w:pPr>
              <w:rPr>
                <w:lang w:val="lt-LT"/>
              </w:rPr>
            </w:pPr>
          </w:p>
        </w:tc>
      </w:tr>
      <w:tr w:rsidR="00FF4453" w:rsidRPr="00C5348F">
        <w:trPr>
          <w:trHeight w:val="39"/>
        </w:trPr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</w:tr>
      <w:tr w:rsidR="00C5348F" w:rsidRPr="00C5348F" w:rsidTr="00C5348F"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9. Įstaigos vadovo pavedimu atstovauja įstaigai santykiuose su kitomis įstaigomis, organizacijomis bei fiziniais asmenimis.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10. Konsultuoja su struktūrinio padalinio veikla susijusiais klausimais.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 xml:space="preserve">11. Priima su </w:t>
                  </w:r>
                  <w:r w:rsidRPr="00C5348F">
                    <w:rPr>
                      <w:color w:val="000000"/>
                      <w:sz w:val="24"/>
                      <w:lang w:val="lt-LT"/>
                    </w:rPr>
                    <w:t>struktūrinio padalinio veikla susijusius sprendimus.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12. Rengia ir teikia pasiūlymus su struktūrinio padalinio veikla susijusiais klausimais.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13. Vadovauja struktūrinio padalinio veiklos vykdymui aktualios informacijos apdorojimui arba prireikus apdoroja</w:t>
                  </w:r>
                  <w:r w:rsidRPr="00C5348F">
                    <w:rPr>
                      <w:color w:val="000000"/>
                      <w:sz w:val="24"/>
                      <w:lang w:val="lt-LT"/>
                    </w:rPr>
                    <w:t xml:space="preserve"> struktūrinio padalinio veiklos vykdymui aktualią informaciją.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14. Vadovauja struktūrinio padalinio veiklų vykdymui arba prireikus vykdo struktūrinio padalinio veiklas.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 xml:space="preserve">15. Vadovauja su struktūrinio padalinio veikla susijusios informacijos </w:t>
                  </w:r>
                  <w:r w:rsidRPr="00C5348F">
                    <w:rPr>
                      <w:color w:val="000000"/>
                      <w:sz w:val="24"/>
                      <w:lang w:val="lt-LT"/>
                    </w:rPr>
                    <w:t>rengimui ir teikimui arba prireikus rengia ir teikia su struktūrinio padalinio veikla susijusią informaciją.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16. Vadovauja su struktūrinio padalinio veikla susijusių dokumentų rengimui arba prireikus rengia su struktūrinio padalinio veikla susijusius doku</w:t>
                  </w:r>
                  <w:r w:rsidRPr="00C5348F">
                    <w:rPr>
                      <w:color w:val="000000"/>
                      <w:sz w:val="24"/>
                      <w:lang w:val="lt-LT"/>
                    </w:rPr>
                    <w:t>mentus.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17. Valdo struktūrinio padalinio žmogiškuosius išteklius teisės aktų nustatyta tvarka.</w:t>
                  </w:r>
                </w:p>
              </w:tc>
            </w:tr>
          </w:tbl>
          <w:p w:rsidR="00FF4453" w:rsidRPr="00C5348F" w:rsidRDefault="00FF4453">
            <w:pPr>
              <w:rPr>
                <w:lang w:val="lt-LT"/>
              </w:rPr>
            </w:pPr>
          </w:p>
        </w:tc>
      </w:tr>
      <w:tr w:rsidR="00FF4453" w:rsidRPr="00C5348F">
        <w:trPr>
          <w:trHeight w:val="20"/>
        </w:trPr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</w:tr>
      <w:tr w:rsidR="00C5348F" w:rsidRPr="00C5348F" w:rsidTr="00C5348F"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336"/>
            </w:tblGrid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18. Vykdo Šiaulių miesto savivaldybės administracijos Finansų kontrolės taisyklėse poskyriui nustatytas finansų kontrolės funkcijas.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 xml:space="preserve">19. Pagal </w:t>
                  </w:r>
                  <w:r w:rsidRPr="00C5348F">
                    <w:rPr>
                      <w:color w:val="000000"/>
                      <w:sz w:val="24"/>
                      <w:lang w:val="lt-LT"/>
                    </w:rPr>
                    <w:t>poskyriui priskirtą kompetenciją dalyvauja komisijų, darbo grupių veikloje.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20. Koordinuoja Savivaldybės administracijos struktūrinių padalinių vykdomus viešuosius pirkimus, vykdo jų stebėseną ir vidaus kontrolę, siekiant nustatyti kaip Savivaldybės admin</w:t>
                  </w:r>
                  <w:r w:rsidRPr="00C5348F">
                    <w:rPr>
                      <w:color w:val="000000"/>
                      <w:sz w:val="24"/>
                      <w:lang w:val="lt-LT"/>
                    </w:rPr>
                    <w:t>istracijos padaliniai laikosi Savivaldybės administracijoje nustatytos viešųjų pirkimų proceso organizavimo ir vykdymo tvarkos.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21. Nagrinėja fizinių ir juridinių asmenų prašymus, pranešimus ir skundus, susijusius su poskyrio funkcijomis, rengia į juos at</w:t>
                  </w:r>
                  <w:r w:rsidRPr="00C5348F">
                    <w:rPr>
                      <w:color w:val="000000"/>
                      <w:sz w:val="24"/>
                      <w:lang w:val="lt-LT"/>
                    </w:rPr>
                    <w:t>sakymus ar atsakymų projektus.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 xml:space="preserve">22. Vykdo Viešųjų pirkimų valdymo sistemos </w:t>
                  </w:r>
                  <w:proofErr w:type="spellStart"/>
                  <w:r w:rsidRPr="00C5348F">
                    <w:rPr>
                      <w:color w:val="000000"/>
                      <w:sz w:val="24"/>
                      <w:lang w:val="lt-LT"/>
                    </w:rPr>
                    <w:t>super</w:t>
                  </w:r>
                  <w:proofErr w:type="spellEnd"/>
                  <w:r w:rsidRPr="00C5348F">
                    <w:rPr>
                      <w:color w:val="000000"/>
                      <w:sz w:val="24"/>
                      <w:lang w:val="lt-LT"/>
                    </w:rPr>
                    <w:t xml:space="preserve"> administratoriaus funkcijas.</w:t>
                  </w:r>
                </w:p>
              </w:tc>
            </w:tr>
            <w:tr w:rsidR="00FF4453" w:rsidRPr="00C5348F" w:rsidTr="00C5348F">
              <w:trPr>
                <w:trHeight w:val="260"/>
              </w:trPr>
              <w:tc>
                <w:tcPr>
                  <w:tcW w:w="9336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 w:rsidP="00C5348F">
                  <w:pPr>
                    <w:jc w:val="both"/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23. Tvarko Duomenų tvarkymo veiklos įrašų žurnalą, registruoja Konfidencialumo pasižadėjimus ir Nešališkumo deklaracijas.</w:t>
                  </w:r>
                </w:p>
              </w:tc>
            </w:tr>
          </w:tbl>
          <w:p w:rsidR="00FF4453" w:rsidRPr="00C5348F" w:rsidRDefault="00FF4453">
            <w:pPr>
              <w:rPr>
                <w:lang w:val="lt-LT"/>
              </w:rPr>
            </w:pPr>
          </w:p>
        </w:tc>
      </w:tr>
      <w:tr w:rsidR="00FF4453" w:rsidRPr="00C5348F">
        <w:trPr>
          <w:trHeight w:val="19"/>
        </w:trPr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</w:tr>
      <w:tr w:rsidR="00C5348F" w:rsidRPr="00C5348F" w:rsidTr="00C5348F"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F4453" w:rsidRPr="00C534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 xml:space="preserve">24. </w:t>
                  </w:r>
                  <w:r w:rsidRPr="00C5348F">
                    <w:rPr>
                      <w:color w:val="000000"/>
                      <w:sz w:val="24"/>
                      <w:lang w:val="lt-LT"/>
                    </w:rPr>
                    <w:t>Vykdo kitus nenuolatinio pobūdžio su struktūrinio padalinio veikla susijusius pavedimus.</w:t>
                  </w:r>
                </w:p>
              </w:tc>
            </w:tr>
          </w:tbl>
          <w:p w:rsidR="00FF4453" w:rsidRPr="00C5348F" w:rsidRDefault="00FF4453">
            <w:pPr>
              <w:rPr>
                <w:lang w:val="lt-LT"/>
              </w:rPr>
            </w:pPr>
          </w:p>
        </w:tc>
      </w:tr>
      <w:tr w:rsidR="00FF4453" w:rsidRPr="00C5348F">
        <w:trPr>
          <w:trHeight w:val="139"/>
        </w:trPr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</w:tr>
      <w:tr w:rsidR="00C5348F" w:rsidRPr="00C5348F" w:rsidTr="00C5348F"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F4453" w:rsidRPr="00C5348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25. Išsilavinimo ir darbo patirties reikalavimai:</w:t>
                  </w:r>
                  <w:r w:rsidRPr="00C5348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F4453" w:rsidRPr="00C5348F">
              <w:trPr>
                <w:trHeight w:val="3061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F4453" w:rsidRPr="00C5348F">
                    <w:trPr>
                      <w:trHeight w:val="204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FF4453" w:rsidRPr="00C5348F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F4453" w:rsidRPr="00C5348F" w:rsidRDefault="000E34CB">
                              <w:pPr>
                                <w:rPr>
                                  <w:lang w:val="lt-LT"/>
                                </w:rPr>
                              </w:pPr>
                              <w:r w:rsidRPr="00C5348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FF4453" w:rsidRPr="00C5348F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F4453" w:rsidRPr="00C5348F" w:rsidRDefault="000E34CB">
                              <w:pPr>
                                <w:rPr>
                                  <w:lang w:val="lt-LT"/>
                                </w:rPr>
                              </w:pPr>
                              <w:r w:rsidRPr="00C5348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25.2. studijų kryptis – teisė;</w:t>
                              </w:r>
                            </w:p>
                          </w:tc>
                        </w:tr>
                        <w:tr w:rsidR="00FF4453" w:rsidRPr="00C5348F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F4453" w:rsidRPr="00C5348F" w:rsidRDefault="000E34CB">
                              <w:pPr>
                                <w:rPr>
                                  <w:lang w:val="lt-LT"/>
                                </w:rPr>
                              </w:pPr>
                              <w:r w:rsidRPr="00C5348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25.3. studijų kryptis – statybos inžinerija (arba);</w:t>
                              </w:r>
                            </w:p>
                          </w:tc>
                        </w:tr>
                        <w:tr w:rsidR="00FF4453" w:rsidRPr="00C5348F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F4453" w:rsidRPr="00C5348F" w:rsidRDefault="000E34CB">
                              <w:pPr>
                                <w:rPr>
                                  <w:lang w:val="lt-LT"/>
                                </w:rPr>
                              </w:pPr>
                              <w:r w:rsidRPr="00C5348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25.4. studijų krypti</w:t>
                              </w:r>
                              <w:r w:rsidRPr="00C5348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s – ekonomika (arba);</w:t>
                              </w:r>
                            </w:p>
                          </w:tc>
                        </w:tr>
                        <w:tr w:rsidR="00FF4453" w:rsidRPr="00C5348F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F4453" w:rsidRPr="00C5348F" w:rsidRDefault="000E34CB">
                              <w:pPr>
                                <w:rPr>
                                  <w:lang w:val="lt-LT"/>
                                </w:rPr>
                              </w:pPr>
                              <w:r w:rsidRPr="00C5348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25.5. studijų kryptis – viešasis administravimas (arba);</w:t>
                              </w:r>
                            </w:p>
                          </w:tc>
                        </w:tr>
                        <w:tr w:rsidR="00FF4453" w:rsidRPr="00C5348F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F4453" w:rsidRPr="00C5348F" w:rsidRDefault="000E34CB">
                              <w:pPr>
                                <w:rPr>
                                  <w:lang w:val="lt-LT"/>
                                </w:rPr>
                              </w:pPr>
                              <w:r w:rsidRPr="00C5348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FF4453" w:rsidRPr="00C5348F" w:rsidRDefault="00FF4453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FF4453" w:rsidRPr="00C5348F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FF4453" w:rsidRPr="00C5348F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F4453" w:rsidRPr="00C5348F" w:rsidRDefault="000E34CB">
                              <w:pPr>
                                <w:rPr>
                                  <w:lang w:val="lt-LT"/>
                                </w:rPr>
                              </w:pPr>
                              <w:r w:rsidRPr="00C5348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FF4453" w:rsidRPr="00C5348F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F4453" w:rsidRPr="00C5348F" w:rsidRDefault="000E34CB">
                              <w:pPr>
                                <w:rPr>
                                  <w:lang w:val="lt-LT"/>
                                </w:rPr>
                              </w:pPr>
                              <w:r w:rsidRPr="00C5348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25.7. darbo patirtis – viešųjų pirkimų srities patirtis;</w:t>
                              </w:r>
                            </w:p>
                          </w:tc>
                        </w:tr>
                        <w:tr w:rsidR="00FF4453" w:rsidRPr="00C5348F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FF4453" w:rsidRPr="00C5348F" w:rsidRDefault="000E34CB">
                              <w:pPr>
                                <w:rPr>
                                  <w:lang w:val="lt-LT"/>
                                </w:rPr>
                              </w:pPr>
                              <w:r w:rsidRPr="00C5348F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25.8. darbo patirties trukmė – 3 metai. </w:t>
                              </w:r>
                            </w:p>
                          </w:tc>
                        </w:tr>
                      </w:tbl>
                      <w:p w:rsidR="00FF4453" w:rsidRPr="00C5348F" w:rsidRDefault="00FF4453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</w:tbl>
          <w:p w:rsidR="00FF4453" w:rsidRPr="00C5348F" w:rsidRDefault="00FF4453">
            <w:pPr>
              <w:rPr>
                <w:lang w:val="lt-LT"/>
              </w:rPr>
            </w:pPr>
          </w:p>
        </w:tc>
      </w:tr>
      <w:tr w:rsidR="00FF4453" w:rsidRPr="00C5348F">
        <w:trPr>
          <w:trHeight w:val="62"/>
        </w:trPr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</w:tr>
      <w:tr w:rsidR="00C5348F" w:rsidRPr="00C5348F" w:rsidTr="00C5348F"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FF4453" w:rsidRPr="00C5348F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:rsidR="00FF4453" w:rsidRPr="00C5348F" w:rsidRDefault="000E34CB">
                  <w:pPr>
                    <w:jc w:val="center"/>
                    <w:rPr>
                      <w:lang w:val="lt-LT"/>
                    </w:rPr>
                  </w:pPr>
                  <w:r w:rsidRPr="00C5348F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26. Bendrosios kompetencijos ir jų pakankami lygiai:</w:t>
                  </w:r>
                  <w:r w:rsidRPr="00C5348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F4453" w:rsidRPr="00C5348F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26.1. vertės visuomenei kūrimas – 4;</w:t>
                        </w:r>
                      </w:p>
                    </w:tc>
                  </w:tr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26.2. organizuotumas – 4;</w:t>
                        </w:r>
                      </w:p>
                    </w:tc>
                  </w:tr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26.3. patikimumas ir atsakingumas – 4;</w:t>
                        </w:r>
                      </w:p>
                    </w:tc>
                  </w:tr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 xml:space="preserve">26.4. </w:t>
                        </w: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analizė ir pagrindimas – 5;</w:t>
                        </w:r>
                      </w:p>
                    </w:tc>
                  </w:tr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26.5. komunikacija – 4.</w:t>
                        </w:r>
                      </w:p>
                    </w:tc>
                  </w:tr>
                </w:tbl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27. Vadybinės ir lyderystės kompetencijos ir jų pakankami lygiai:</w:t>
                  </w:r>
                  <w:r w:rsidRPr="00C5348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F4453" w:rsidRPr="00C5348F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27.1. strateginis požiūris – 3;</w:t>
                        </w:r>
                      </w:p>
                    </w:tc>
                  </w:tr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27.2. veiklos valdymas – 3;</w:t>
                        </w:r>
                      </w:p>
                    </w:tc>
                  </w:tr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27.3. lyderystė – 3.</w:t>
                        </w:r>
                      </w:p>
                    </w:tc>
                  </w:tr>
                </w:tbl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 xml:space="preserve">28. Specifinės kompetencijos ir jų </w:t>
                  </w:r>
                  <w:r w:rsidRPr="00C5348F">
                    <w:rPr>
                      <w:color w:val="000000"/>
                      <w:sz w:val="24"/>
                      <w:lang w:val="lt-LT"/>
                    </w:rPr>
                    <w:t>pakankami lygiai:</w:t>
                  </w:r>
                  <w:r w:rsidRPr="00C5348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F4453" w:rsidRPr="00C5348F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28.1. informacijos valdymas – 4.</w:t>
                        </w:r>
                      </w:p>
                    </w:tc>
                  </w:tr>
                </w:tbl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29. Profesinės kompetencijos ir jų pakankami lygiai:</w:t>
                  </w:r>
                  <w:r w:rsidRPr="00C5348F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FF4453" w:rsidRPr="00C5348F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lastRenderedPageBreak/>
                          <w:t>29.1. veiklos planavimas – 4;</w:t>
                        </w:r>
                      </w:p>
                    </w:tc>
                  </w:tr>
                  <w:tr w:rsidR="00FF4453" w:rsidRPr="00C5348F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FF4453" w:rsidRPr="00C5348F" w:rsidRDefault="000E34CB">
                        <w:pPr>
                          <w:rPr>
                            <w:lang w:val="lt-LT"/>
                          </w:rPr>
                        </w:pPr>
                        <w:r w:rsidRPr="00C5348F">
                          <w:rPr>
                            <w:color w:val="000000"/>
                            <w:sz w:val="24"/>
                            <w:lang w:val="lt-LT"/>
                          </w:rPr>
                          <w:t>29.2. teisės išmanymas – 4.</w:t>
                        </w:r>
                      </w:p>
                    </w:tc>
                  </w:tr>
                </w:tbl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</w:tbl>
          <w:p w:rsidR="00FF4453" w:rsidRPr="00C5348F" w:rsidRDefault="00FF4453">
            <w:pPr>
              <w:rPr>
                <w:lang w:val="lt-LT"/>
              </w:rPr>
            </w:pPr>
          </w:p>
        </w:tc>
      </w:tr>
      <w:tr w:rsidR="00FF4453" w:rsidRPr="00C5348F">
        <w:trPr>
          <w:trHeight w:val="517"/>
        </w:trPr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</w:tr>
      <w:tr w:rsidR="00C5348F" w:rsidRPr="00C5348F" w:rsidTr="00C5348F"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FF4453" w:rsidRPr="00C5348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sz w:val="24"/>
                      <w:lang w:val="lt-LT"/>
                    </w:rPr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0E34CB">
                  <w:pPr>
                    <w:rPr>
                      <w:lang w:val="lt-LT"/>
                    </w:rPr>
                  </w:pPr>
                  <w:r w:rsidRPr="00C5348F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  <w:tr w:rsidR="00FF4453" w:rsidRPr="00C5348F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FF4453" w:rsidRPr="00C5348F" w:rsidRDefault="00FF4453">
                  <w:pPr>
                    <w:rPr>
                      <w:lang w:val="lt-LT"/>
                    </w:rPr>
                  </w:pPr>
                </w:p>
              </w:tc>
            </w:tr>
          </w:tbl>
          <w:p w:rsidR="00FF4453" w:rsidRPr="00C5348F" w:rsidRDefault="00FF4453">
            <w:pPr>
              <w:rPr>
                <w:lang w:val="lt-LT"/>
              </w:rPr>
            </w:pPr>
          </w:p>
        </w:tc>
      </w:tr>
      <w:tr w:rsidR="00FF4453" w:rsidRPr="00C5348F">
        <w:trPr>
          <w:trHeight w:val="41"/>
        </w:trPr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FF4453" w:rsidRPr="00C5348F" w:rsidRDefault="00FF4453">
            <w:pPr>
              <w:pStyle w:val="EmptyLayoutCell"/>
              <w:rPr>
                <w:lang w:val="lt-LT"/>
              </w:rPr>
            </w:pPr>
          </w:p>
        </w:tc>
      </w:tr>
    </w:tbl>
    <w:p w:rsidR="00780EDB" w:rsidRPr="00C5348F" w:rsidRDefault="00780EDB">
      <w:pPr>
        <w:rPr>
          <w:lang w:val="lt-LT"/>
        </w:rPr>
      </w:pPr>
    </w:p>
    <w:sectPr w:rsidR="00780EDB" w:rsidRPr="00C5348F">
      <w:pgSz w:w="11905" w:h="16837"/>
      <w:pgMar w:top="1133" w:right="566" w:bottom="1133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48F"/>
    <w:rsid w:val="000E34CB"/>
    <w:rsid w:val="00780EDB"/>
    <w:rsid w:val="00C5348F"/>
    <w:rsid w:val="00FF4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4A42E5"/>
  <w15:chartTrackingRefBased/>
  <w15:docId w15:val="{BCF3EAB7-F565-4876-ACF9-5DE2D3A4B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474</Words>
  <Characters>3787</Characters>
  <Application>Microsoft Office Word</Application>
  <DocSecurity>4</DocSecurity>
  <Lines>31</Lines>
  <Paragraphs>8</Paragraphs>
  <ScaleCrop>false</ScaleCrop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creator>Janina Noraitienė</dc:creator>
  <cp:lastModifiedBy>Janina Noraitienė</cp:lastModifiedBy>
  <cp:revision>2</cp:revision>
  <dcterms:created xsi:type="dcterms:W3CDTF">2023-01-10T07:34:00Z</dcterms:created>
  <dcterms:modified xsi:type="dcterms:W3CDTF">2023-01-10T07:34:00Z</dcterms:modified>
</cp:coreProperties>
</file>