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D14625" w14:paraId="1A9AAB2F" w14:textId="77777777" w:rsidTr="00D14625">
        <w:tc>
          <w:tcPr>
            <w:tcW w:w="9070" w:type="dxa"/>
            <w:gridSpan w:val="4"/>
          </w:tcPr>
          <w:tbl>
            <w:tblPr>
              <w:tblW w:w="977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  <w:gridCol w:w="281"/>
            </w:tblGrid>
            <w:tr w:rsidR="00D14625" w14:paraId="1A9AAB19" w14:textId="77777777" w:rsidTr="00D14625">
              <w:trPr>
                <w:gridAfter w:val="1"/>
                <w:wAfter w:w="281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17" w14:textId="77777777" w:rsidR="00B0197B" w:rsidRDefault="00B0197B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18" w14:textId="77777777" w:rsidR="00B0197B" w:rsidRDefault="009B708E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D14625" w14:paraId="1A9AAB1C" w14:textId="77777777" w:rsidTr="00D1462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1A" w14:textId="77777777" w:rsidR="00D14625" w:rsidRDefault="00D14625" w:rsidP="00D14625"/>
              </w:tc>
              <w:tc>
                <w:tcPr>
                  <w:tcW w:w="468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1B" w14:textId="77777777" w:rsidR="00D14625" w:rsidRDefault="00D14625" w:rsidP="00D14625">
                  <w:r w:rsidRPr="00A256AC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D14625" w14:paraId="1A9AAB1F" w14:textId="77777777" w:rsidTr="00D1462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1D" w14:textId="77777777" w:rsidR="00D14625" w:rsidRDefault="00D14625" w:rsidP="00D14625"/>
              </w:tc>
              <w:tc>
                <w:tcPr>
                  <w:tcW w:w="468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1E" w14:textId="2858FC93" w:rsidR="00D14625" w:rsidRDefault="00D14625" w:rsidP="00D14625">
                  <w:r w:rsidRPr="00A256AC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3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sausio </w:t>
                  </w:r>
                  <w:r w:rsidR="009B708E">
                    <w:rPr>
                      <w:sz w:val="24"/>
                      <w:szCs w:val="24"/>
                      <w:lang w:val="lt-LT"/>
                    </w:rPr>
                    <w:t>17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D14625" w14:paraId="1A9AAB22" w14:textId="77777777" w:rsidTr="00D1462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20" w14:textId="77777777" w:rsidR="00D14625" w:rsidRDefault="00D14625" w:rsidP="00D14625"/>
              </w:tc>
              <w:tc>
                <w:tcPr>
                  <w:tcW w:w="468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21" w14:textId="0548D546" w:rsidR="00D14625" w:rsidRDefault="00D14625" w:rsidP="00D14625"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0047AE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9B708E">
                    <w:rPr>
                      <w:color w:val="000000"/>
                      <w:sz w:val="24"/>
                      <w:szCs w:val="24"/>
                      <w:lang w:val="lt-LT"/>
                    </w:rPr>
                    <w:t>66</w:t>
                  </w:r>
                </w:p>
              </w:tc>
            </w:tr>
            <w:tr w:rsidR="00D14625" w14:paraId="1A9AAB24" w14:textId="77777777" w:rsidTr="00D14625">
              <w:trPr>
                <w:gridAfter w:val="1"/>
                <w:wAfter w:w="281" w:type="dxa"/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23" w14:textId="77777777" w:rsidR="00B0197B" w:rsidRDefault="00B0197B"/>
              </w:tc>
            </w:tr>
            <w:tr w:rsidR="00D14625" w14:paraId="1A9AAB26" w14:textId="77777777" w:rsidTr="00D14625">
              <w:trPr>
                <w:gridAfter w:val="1"/>
                <w:wAfter w:w="281" w:type="dxa"/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25" w14:textId="77777777" w:rsidR="00B0197B" w:rsidRDefault="009B708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D14625" w14:paraId="1A9AAB28" w14:textId="77777777" w:rsidTr="00D14625">
              <w:trPr>
                <w:gridAfter w:val="1"/>
                <w:wAfter w:w="281" w:type="dxa"/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27" w14:textId="77777777" w:rsidR="00B0197B" w:rsidRDefault="009B708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SVEIKATOS SKYRIAUS</w:t>
                  </w:r>
                </w:p>
              </w:tc>
            </w:tr>
            <w:tr w:rsidR="00D14625" w14:paraId="1A9AAB2A" w14:textId="77777777" w:rsidTr="00D14625">
              <w:trPr>
                <w:gridAfter w:val="1"/>
                <w:wAfter w:w="281" w:type="dxa"/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29" w14:textId="77777777" w:rsidR="00B0197B" w:rsidRDefault="009B708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SAVIVALDYBĖS GYDYTOJO (VEDĖJO)</w:t>
                  </w:r>
                </w:p>
              </w:tc>
            </w:tr>
            <w:tr w:rsidR="00D14625" w14:paraId="1A9AAB2C" w14:textId="77777777" w:rsidTr="00D14625">
              <w:trPr>
                <w:gridAfter w:val="1"/>
                <w:wAfter w:w="281" w:type="dxa"/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2B" w14:textId="77777777" w:rsidR="00B0197B" w:rsidRDefault="009B708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1A9AAB2D" w14:textId="77777777" w:rsidR="00B0197B" w:rsidRDefault="00B0197B"/>
        </w:tc>
        <w:tc>
          <w:tcPr>
            <w:tcW w:w="13" w:type="dxa"/>
          </w:tcPr>
          <w:p w14:paraId="1A9AAB2E" w14:textId="77777777" w:rsidR="00B0197B" w:rsidRDefault="00B0197B">
            <w:pPr>
              <w:pStyle w:val="EmptyLayoutCell"/>
            </w:pPr>
          </w:p>
        </w:tc>
      </w:tr>
      <w:tr w:rsidR="00B0197B" w14:paraId="1A9AAB35" w14:textId="77777777">
        <w:trPr>
          <w:trHeight w:val="349"/>
        </w:trPr>
        <w:tc>
          <w:tcPr>
            <w:tcW w:w="13" w:type="dxa"/>
          </w:tcPr>
          <w:p w14:paraId="1A9AAB30" w14:textId="77777777" w:rsidR="00B0197B" w:rsidRDefault="00B0197B">
            <w:pPr>
              <w:pStyle w:val="EmptyLayoutCell"/>
            </w:pPr>
          </w:p>
        </w:tc>
        <w:tc>
          <w:tcPr>
            <w:tcW w:w="1" w:type="dxa"/>
          </w:tcPr>
          <w:p w14:paraId="1A9AAB31" w14:textId="77777777" w:rsidR="00B0197B" w:rsidRDefault="00B0197B">
            <w:pPr>
              <w:pStyle w:val="EmptyLayoutCell"/>
            </w:pPr>
          </w:p>
        </w:tc>
        <w:tc>
          <w:tcPr>
            <w:tcW w:w="1" w:type="dxa"/>
          </w:tcPr>
          <w:p w14:paraId="1A9AAB32" w14:textId="77777777" w:rsidR="00B0197B" w:rsidRDefault="00B0197B">
            <w:pPr>
              <w:pStyle w:val="EmptyLayoutCell"/>
            </w:pPr>
          </w:p>
        </w:tc>
        <w:tc>
          <w:tcPr>
            <w:tcW w:w="9055" w:type="dxa"/>
          </w:tcPr>
          <w:p w14:paraId="1A9AAB33" w14:textId="77777777" w:rsidR="00B0197B" w:rsidRDefault="00B0197B">
            <w:pPr>
              <w:pStyle w:val="EmptyLayoutCell"/>
            </w:pPr>
          </w:p>
        </w:tc>
        <w:tc>
          <w:tcPr>
            <w:tcW w:w="13" w:type="dxa"/>
          </w:tcPr>
          <w:p w14:paraId="1A9AAB34" w14:textId="77777777" w:rsidR="00B0197B" w:rsidRDefault="00B0197B">
            <w:pPr>
              <w:pStyle w:val="EmptyLayoutCell"/>
            </w:pPr>
          </w:p>
        </w:tc>
      </w:tr>
      <w:tr w:rsidR="00D14625" w:rsidRPr="00D14625" w14:paraId="1A9AAB3F" w14:textId="77777777" w:rsidTr="00D14625">
        <w:tc>
          <w:tcPr>
            <w:tcW w:w="13" w:type="dxa"/>
          </w:tcPr>
          <w:p w14:paraId="1A9AAB36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0197B" w:rsidRPr="00D14625" w14:paraId="1A9AAB39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37" w14:textId="77777777" w:rsidR="00B0197B" w:rsidRPr="00D14625" w:rsidRDefault="009B708E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 xml:space="preserve">I </w:t>
                  </w: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>SKYRIUS</w:t>
                  </w:r>
                </w:p>
                <w:p w14:paraId="1A9AAB38" w14:textId="77777777" w:rsidR="00B0197B" w:rsidRPr="00D14625" w:rsidRDefault="009B708E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B0197B" w:rsidRPr="00D14625" w14:paraId="1A9AAB3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3A" w14:textId="77777777" w:rsidR="00B0197B" w:rsidRPr="00D14625" w:rsidRDefault="009B708E">
                  <w:pPr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B0197B" w:rsidRPr="00D14625" w14:paraId="1A9AAB3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3C" w14:textId="77777777" w:rsidR="00B0197B" w:rsidRPr="00D14625" w:rsidRDefault="009B708E">
                  <w:pPr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1A9AAB3E" w14:textId="77777777" w:rsidR="00B0197B" w:rsidRPr="00D14625" w:rsidRDefault="00B0197B">
            <w:pPr>
              <w:rPr>
                <w:lang w:val="lt-LT"/>
              </w:rPr>
            </w:pPr>
          </w:p>
        </w:tc>
      </w:tr>
      <w:tr w:rsidR="00B0197B" w:rsidRPr="00D14625" w14:paraId="1A9AAB45" w14:textId="77777777">
        <w:trPr>
          <w:trHeight w:val="120"/>
        </w:trPr>
        <w:tc>
          <w:tcPr>
            <w:tcW w:w="13" w:type="dxa"/>
          </w:tcPr>
          <w:p w14:paraId="1A9AAB40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9AAB41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9AAB42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A9AAB43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A9AAB44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</w:tr>
      <w:tr w:rsidR="00D14625" w:rsidRPr="00D14625" w14:paraId="1A9AAB55" w14:textId="77777777" w:rsidTr="00D14625">
        <w:tc>
          <w:tcPr>
            <w:tcW w:w="13" w:type="dxa"/>
          </w:tcPr>
          <w:p w14:paraId="1A9AAB46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0197B" w:rsidRPr="00D14625" w14:paraId="1A9AAB4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47" w14:textId="77777777" w:rsidR="00B0197B" w:rsidRPr="00D14625" w:rsidRDefault="009B708E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1A9AAB48" w14:textId="77777777" w:rsidR="00B0197B" w:rsidRPr="00D14625" w:rsidRDefault="009B708E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D1462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0197B" w:rsidRPr="00D14625" w14:paraId="1A9AAB53" w14:textId="77777777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0197B" w:rsidRPr="00D14625" w14:paraId="1A9AAB4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B4A" w14:textId="77777777" w:rsidR="00B0197B" w:rsidRPr="00D14625" w:rsidRDefault="009B708E">
                        <w:pPr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 xml:space="preserve">3. Viešųjų paslaugų </w:t>
                        </w: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teikimo administravimas.</w:t>
                        </w:r>
                      </w:p>
                    </w:tc>
                  </w:tr>
                  <w:tr w:rsidR="00B0197B" w:rsidRPr="00D14625" w14:paraId="1A9AAB4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B4C" w14:textId="77777777" w:rsidR="00B0197B" w:rsidRPr="00D14625" w:rsidRDefault="009B708E">
                        <w:pPr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4. Sprendimų įgyvendinimas.</w:t>
                        </w:r>
                      </w:p>
                    </w:tc>
                  </w:tr>
                  <w:tr w:rsidR="00B0197B" w:rsidRPr="00D14625" w14:paraId="1A9AAB4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B4E" w14:textId="77777777" w:rsidR="00B0197B" w:rsidRPr="00D14625" w:rsidRDefault="009B708E">
                        <w:pPr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5. Stebėsena ir analizė.</w:t>
                        </w:r>
                      </w:p>
                    </w:tc>
                  </w:tr>
                  <w:tr w:rsidR="00B0197B" w:rsidRPr="00D14625" w14:paraId="1A9AAB5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B50" w14:textId="77777777" w:rsidR="00B0197B" w:rsidRPr="00D14625" w:rsidRDefault="009B708E">
                        <w:pPr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6. Priežiūra ir kontrolė.</w:t>
                        </w:r>
                      </w:p>
                    </w:tc>
                  </w:tr>
                </w:tbl>
                <w:p w14:paraId="1A9AAB52" w14:textId="77777777" w:rsidR="00B0197B" w:rsidRPr="00D14625" w:rsidRDefault="00B0197B">
                  <w:pPr>
                    <w:rPr>
                      <w:lang w:val="lt-LT"/>
                    </w:rPr>
                  </w:pPr>
                </w:p>
              </w:tc>
            </w:tr>
          </w:tbl>
          <w:p w14:paraId="1A9AAB54" w14:textId="77777777" w:rsidR="00B0197B" w:rsidRPr="00D14625" w:rsidRDefault="00B0197B">
            <w:pPr>
              <w:rPr>
                <w:lang w:val="lt-LT"/>
              </w:rPr>
            </w:pPr>
          </w:p>
        </w:tc>
      </w:tr>
      <w:tr w:rsidR="00B0197B" w:rsidRPr="00D14625" w14:paraId="1A9AAB5B" w14:textId="77777777">
        <w:trPr>
          <w:trHeight w:val="126"/>
        </w:trPr>
        <w:tc>
          <w:tcPr>
            <w:tcW w:w="13" w:type="dxa"/>
          </w:tcPr>
          <w:p w14:paraId="1A9AAB56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9AAB57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9AAB58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A9AAB59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A9AAB5A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</w:tr>
      <w:tr w:rsidR="00D14625" w:rsidRPr="00D14625" w14:paraId="1A9AAB6B" w14:textId="77777777" w:rsidTr="00D14625">
        <w:tc>
          <w:tcPr>
            <w:tcW w:w="13" w:type="dxa"/>
          </w:tcPr>
          <w:p w14:paraId="1A9AAB5C" w14:textId="77777777" w:rsidR="00B0197B" w:rsidRPr="00D14625" w:rsidRDefault="00B0197B" w:rsidP="007958B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0197B" w:rsidRPr="00D14625" w14:paraId="1A9AAB5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5D" w14:textId="77777777" w:rsidR="00B0197B" w:rsidRPr="00D14625" w:rsidRDefault="009B708E" w:rsidP="007958B1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1A9AAB5E" w14:textId="77777777" w:rsidR="00B0197B" w:rsidRPr="00D14625" w:rsidRDefault="009B708E" w:rsidP="007958B1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D1462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0197B" w:rsidRPr="00D14625" w14:paraId="1A9AAB69" w14:textId="77777777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0197B" w:rsidRPr="00D14625" w14:paraId="1A9AAB6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B60" w14:textId="77777777" w:rsidR="00B0197B" w:rsidRPr="00D14625" w:rsidRDefault="009B708E" w:rsidP="007958B1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7. Asmens ir visuomenės sveikatos priežiūra.</w:t>
                        </w:r>
                      </w:p>
                    </w:tc>
                  </w:tr>
                  <w:tr w:rsidR="00B0197B" w:rsidRPr="00D14625" w14:paraId="1A9AAB6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B62" w14:textId="77777777" w:rsidR="00B0197B" w:rsidRPr="00D14625" w:rsidRDefault="009B708E" w:rsidP="007958B1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 xml:space="preserve">8. Sveikatos politikos įgyvendinimas, </w:t>
                        </w: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sveikatinimo priemonių planavimas ir įgyvendinimas; parama savivaldybės gyventojų sveikatos priežiūrai; visuomenės sveikatos stiprinimas.</w:t>
                        </w:r>
                      </w:p>
                    </w:tc>
                  </w:tr>
                  <w:tr w:rsidR="00B0197B" w:rsidRPr="00D14625" w14:paraId="1A9AAB6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B64" w14:textId="77777777" w:rsidR="00B0197B" w:rsidRPr="00D14625" w:rsidRDefault="009B708E" w:rsidP="007958B1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9. Visuomenės sveikatos stebėsena.</w:t>
                        </w:r>
                      </w:p>
                    </w:tc>
                  </w:tr>
                  <w:tr w:rsidR="00B0197B" w:rsidRPr="00D14625" w14:paraId="1A9AAB6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B66" w14:textId="77777777" w:rsidR="00B0197B" w:rsidRPr="00D14625" w:rsidRDefault="009B708E" w:rsidP="007958B1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10. Savivaldybei pavaldžių sveikatos priežiūros įstaigų veiklos priežiūra ir koor</w:t>
                        </w: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dinavimas.</w:t>
                        </w:r>
                      </w:p>
                    </w:tc>
                  </w:tr>
                </w:tbl>
                <w:p w14:paraId="1A9AAB68" w14:textId="77777777" w:rsidR="00B0197B" w:rsidRPr="00D14625" w:rsidRDefault="00B0197B" w:rsidP="007958B1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1A9AAB6A" w14:textId="77777777" w:rsidR="00B0197B" w:rsidRPr="00D14625" w:rsidRDefault="00B0197B" w:rsidP="007958B1">
            <w:pPr>
              <w:jc w:val="both"/>
              <w:rPr>
                <w:lang w:val="lt-LT"/>
              </w:rPr>
            </w:pPr>
          </w:p>
        </w:tc>
      </w:tr>
      <w:tr w:rsidR="00B0197B" w:rsidRPr="00D14625" w14:paraId="1A9AAB71" w14:textId="77777777">
        <w:trPr>
          <w:trHeight w:val="100"/>
        </w:trPr>
        <w:tc>
          <w:tcPr>
            <w:tcW w:w="13" w:type="dxa"/>
          </w:tcPr>
          <w:p w14:paraId="1A9AAB6C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9AAB6D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9AAB6E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A9AAB6F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A9AAB70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</w:tr>
      <w:tr w:rsidR="00D14625" w:rsidRPr="00D14625" w14:paraId="1A9AAB78" w14:textId="77777777" w:rsidTr="00D14625">
        <w:tc>
          <w:tcPr>
            <w:tcW w:w="13" w:type="dxa"/>
          </w:tcPr>
          <w:p w14:paraId="1A9AAB72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9AAB73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0197B" w:rsidRPr="00D14625" w14:paraId="1A9AAB7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74" w14:textId="77777777" w:rsidR="00B0197B" w:rsidRPr="00D14625" w:rsidRDefault="009B708E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1A9AAB75" w14:textId="77777777" w:rsidR="00B0197B" w:rsidRPr="00D14625" w:rsidRDefault="009B708E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1A9AAB77" w14:textId="77777777" w:rsidR="00B0197B" w:rsidRPr="00D14625" w:rsidRDefault="00B0197B">
            <w:pPr>
              <w:rPr>
                <w:lang w:val="lt-LT"/>
              </w:rPr>
            </w:pPr>
          </w:p>
        </w:tc>
      </w:tr>
      <w:tr w:rsidR="00B0197B" w:rsidRPr="00D14625" w14:paraId="1A9AAB7E" w14:textId="77777777">
        <w:trPr>
          <w:trHeight w:val="39"/>
        </w:trPr>
        <w:tc>
          <w:tcPr>
            <w:tcW w:w="13" w:type="dxa"/>
          </w:tcPr>
          <w:p w14:paraId="1A9AAB79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9AAB7A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9AAB7B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A9AAB7C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A9AAB7D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</w:tr>
      <w:tr w:rsidR="00D14625" w:rsidRPr="00D14625" w14:paraId="1A9AAB93" w14:textId="77777777" w:rsidTr="00D14625">
        <w:tc>
          <w:tcPr>
            <w:tcW w:w="13" w:type="dxa"/>
          </w:tcPr>
          <w:p w14:paraId="1A9AAB7F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0197B" w:rsidRPr="00D14625" w14:paraId="1A9AAB8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80" w14:textId="77777777" w:rsidR="00B0197B" w:rsidRPr="00D14625" w:rsidRDefault="009B708E" w:rsidP="007958B1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11. Įstaigos vadovui pavedus atstovauja įstaigai santykiuose su kitomis įstaigomis, organizacijomis bei fiziniais asmenimis.</w:t>
                  </w:r>
                </w:p>
              </w:tc>
            </w:tr>
            <w:tr w:rsidR="00B0197B" w:rsidRPr="00D14625" w14:paraId="1A9AAB8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82" w14:textId="77777777" w:rsidR="00B0197B" w:rsidRPr="00D14625" w:rsidRDefault="009B708E" w:rsidP="007958B1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 xml:space="preserve">12. Konsultuoja su struktūrinio padalinio veikla susijusiais 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klausimais.</w:t>
                  </w:r>
                </w:p>
              </w:tc>
            </w:tr>
            <w:tr w:rsidR="00B0197B" w:rsidRPr="00D14625" w14:paraId="1A9AAB8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84" w14:textId="77777777" w:rsidR="00B0197B" w:rsidRPr="00D14625" w:rsidRDefault="009B708E" w:rsidP="007958B1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13. Priima su struktūrinio padalinio veikla susijusius sprendimus.</w:t>
                  </w:r>
                </w:p>
              </w:tc>
            </w:tr>
            <w:tr w:rsidR="00B0197B" w:rsidRPr="00D14625" w14:paraId="1A9AAB8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86" w14:textId="77777777" w:rsidR="00B0197B" w:rsidRPr="00D14625" w:rsidRDefault="009B708E" w:rsidP="007958B1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14. Rengia ir teikia pasiūlymus su struktūrinio padalinio veikla susijusiais klausimais.</w:t>
                  </w:r>
                </w:p>
              </w:tc>
            </w:tr>
            <w:tr w:rsidR="00B0197B" w:rsidRPr="00D14625" w14:paraId="1A9AAB8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88" w14:textId="77777777" w:rsidR="00B0197B" w:rsidRPr="00D14625" w:rsidRDefault="009B708E" w:rsidP="007958B1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15. Vadovauja struktūrinio padalinio veiklos vykdymui aktualios informacijos apdoroji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mui arba prireikus apdoroja struktūrinio padalinio veiklai vykdyti aktualią informaciją.</w:t>
                  </w:r>
                </w:p>
              </w:tc>
            </w:tr>
            <w:tr w:rsidR="00B0197B" w:rsidRPr="00D14625" w14:paraId="1A9AAB8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8A" w14:textId="77777777" w:rsidR="00B0197B" w:rsidRPr="00D14625" w:rsidRDefault="009B708E" w:rsidP="007958B1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16. Vadovauja struktūrinio padalinio veiklų vykdymui arba prireikus vykdo struktūrinio padalinio veiklas.</w:t>
                  </w:r>
                </w:p>
              </w:tc>
            </w:tr>
            <w:tr w:rsidR="00B0197B" w:rsidRPr="00D14625" w14:paraId="1A9AAB8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8C" w14:textId="77777777" w:rsidR="00B0197B" w:rsidRPr="00D14625" w:rsidRDefault="009B708E" w:rsidP="007958B1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 xml:space="preserve">17. Vadovauja su struktūrinio padalinio veikla 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susijusios informacijos rengimui ir teikimui arba prireikus rengia ir teikia su struktūrinio padalinio veikla susijusią informaciją.</w:t>
                  </w:r>
                </w:p>
              </w:tc>
            </w:tr>
            <w:tr w:rsidR="00B0197B" w:rsidRPr="00D14625" w14:paraId="1A9AAB8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8E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lastRenderedPageBreak/>
                    <w:t>18. Vadovauja su struktūrinio padalinio veikla susijusių dokumentų rengimui arba prireikus rengia su struktūrinio padalini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o veikla susijusius dokumentus.</w:t>
                  </w:r>
                </w:p>
              </w:tc>
            </w:tr>
            <w:tr w:rsidR="00B0197B" w:rsidRPr="00D14625" w14:paraId="1A9AAB9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90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19. Valdo struktūrinio padalinio žmogiškuosius išteklius teisės aktų nustatyta tvarka.</w:t>
                  </w:r>
                </w:p>
              </w:tc>
            </w:tr>
          </w:tbl>
          <w:p w14:paraId="1A9AAB92" w14:textId="77777777" w:rsidR="00B0197B" w:rsidRPr="00D14625" w:rsidRDefault="00B0197B" w:rsidP="00D14625">
            <w:pPr>
              <w:jc w:val="both"/>
              <w:rPr>
                <w:lang w:val="lt-LT"/>
              </w:rPr>
            </w:pPr>
          </w:p>
        </w:tc>
      </w:tr>
      <w:tr w:rsidR="00B0197B" w:rsidRPr="00D14625" w14:paraId="1A9AAB99" w14:textId="77777777">
        <w:trPr>
          <w:trHeight w:val="40"/>
        </w:trPr>
        <w:tc>
          <w:tcPr>
            <w:tcW w:w="13" w:type="dxa"/>
          </w:tcPr>
          <w:p w14:paraId="1A9AAB94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9AAB95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9AAB96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A9AAB97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A9AAB98" w14:textId="77777777" w:rsidR="00B0197B" w:rsidRPr="00D14625" w:rsidRDefault="00B0197B">
            <w:pPr>
              <w:pStyle w:val="EmptyLayoutCell"/>
              <w:rPr>
                <w:lang w:val="lt-LT"/>
              </w:rPr>
            </w:pPr>
          </w:p>
        </w:tc>
      </w:tr>
      <w:tr w:rsidR="00D14625" w:rsidRPr="00D14625" w14:paraId="1A9AAB9E" w14:textId="77777777" w:rsidTr="00D14625">
        <w:tc>
          <w:tcPr>
            <w:tcW w:w="13" w:type="dxa"/>
          </w:tcPr>
          <w:p w14:paraId="1A9AAB9A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0197B" w:rsidRPr="00D14625" w14:paraId="1A9AAB9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9B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20. Vykdo kitus nenuolatinio pobūdžio su struktūrinio padalinio veikla susijusius pavedimus.</w:t>
                  </w:r>
                </w:p>
              </w:tc>
            </w:tr>
          </w:tbl>
          <w:p w14:paraId="1A9AAB9D" w14:textId="77777777" w:rsidR="00B0197B" w:rsidRPr="00D14625" w:rsidRDefault="00B0197B" w:rsidP="00D14625">
            <w:pPr>
              <w:jc w:val="both"/>
              <w:rPr>
                <w:lang w:val="lt-LT"/>
              </w:rPr>
            </w:pPr>
          </w:p>
        </w:tc>
      </w:tr>
      <w:tr w:rsidR="00B0197B" w:rsidRPr="00D14625" w14:paraId="1A9AABA4" w14:textId="77777777">
        <w:trPr>
          <w:trHeight w:val="20"/>
        </w:trPr>
        <w:tc>
          <w:tcPr>
            <w:tcW w:w="13" w:type="dxa"/>
          </w:tcPr>
          <w:p w14:paraId="1A9AAB9F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BA0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BA1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A9AABA2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1A9AABA3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14625" w:rsidRPr="00D14625" w14:paraId="1A9AABA9" w14:textId="77777777" w:rsidTr="00D14625">
        <w:tc>
          <w:tcPr>
            <w:tcW w:w="13" w:type="dxa"/>
          </w:tcPr>
          <w:p w14:paraId="1A9AABA5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0197B" w:rsidRPr="00D14625" w14:paraId="1A9AABA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A6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 xml:space="preserve">Funkcijos 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patvirtintos 2015.11.17 „Dėl Savivaldybės gydytojo pavyzdinių nuostatų patvirtinimo“ Nr.: V- 1299.</w:t>
                  </w:r>
                </w:p>
              </w:tc>
            </w:tr>
          </w:tbl>
          <w:p w14:paraId="1A9AABA8" w14:textId="77777777" w:rsidR="00B0197B" w:rsidRPr="00D14625" w:rsidRDefault="00B0197B" w:rsidP="00D14625">
            <w:pPr>
              <w:jc w:val="both"/>
              <w:rPr>
                <w:lang w:val="lt-LT"/>
              </w:rPr>
            </w:pPr>
          </w:p>
        </w:tc>
      </w:tr>
      <w:tr w:rsidR="00B0197B" w:rsidRPr="00D14625" w14:paraId="1A9AABAF" w14:textId="77777777">
        <w:trPr>
          <w:trHeight w:val="20"/>
        </w:trPr>
        <w:tc>
          <w:tcPr>
            <w:tcW w:w="13" w:type="dxa"/>
          </w:tcPr>
          <w:p w14:paraId="1A9AABAA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BAB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BAC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A9AABAD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1A9AABAE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14625" w:rsidRPr="00D14625" w14:paraId="1A9AABD0" w14:textId="77777777" w:rsidTr="00D14625">
        <w:tc>
          <w:tcPr>
            <w:tcW w:w="13" w:type="dxa"/>
          </w:tcPr>
          <w:p w14:paraId="1A9AABB0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0197B" w:rsidRPr="00D14625" w14:paraId="1A9AABB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B1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 xml:space="preserve">21. Savivaldybės teritorijoje organizuoja Lietuvos sveikatos strategijos, valstybinių sveikatinimo programų, tarpinstitucinių veiklos planų, 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kitų valstybės sveikatos srities strateginio planavimo dokumentų įgyvendinimą ir dalyvauja juos įgyvendinant.</w:t>
                  </w:r>
                </w:p>
              </w:tc>
            </w:tr>
            <w:tr w:rsidR="00B0197B" w:rsidRPr="00D14625" w14:paraId="1A9AABB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B3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 xml:space="preserve">22. Organizuoja savivaldybės strateginiame plėtros ir (ar) savivaldybės strateginiame veiklos planuose numatytų savivaldybės sveikatos 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priežiūros plėtojimo, kitų savivaldybės sveikatos srities strateginio planavimo dokumentų įgyvendinimą ir dalyvauja jas įgyvendinant.</w:t>
                  </w:r>
                </w:p>
              </w:tc>
            </w:tr>
            <w:tr w:rsidR="00B0197B" w:rsidRPr="00D14625" w14:paraId="1A9AABB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B5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 xml:space="preserve">23. Nuolat analizuoja savivaldybės gyventojų sveikatos būklę ir jos rizikos veiksnius, pagal kompetenciją teikia išvadas 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ir pasiūlymus savivaldybės merui, administracijos direktoriui ir kitoms institucijoms.</w:t>
                  </w:r>
                </w:p>
              </w:tc>
            </w:tr>
            <w:tr w:rsidR="00B0197B" w:rsidRPr="00D14625" w14:paraId="1A9AABB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B7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24. Pagal kompetenciją vykdo savivaldybėje veikiančių sveikatos priežiūros įstaigų veiklos priežiūrą, koordinuoja jų veiklą ligų prevencijos ir sveikatinimo klausimais,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 xml:space="preserve"> teikia išvadas ir pasiūlymus savivaldybės merui, administracijos direktoriui ir kitoms institucijoms.</w:t>
                  </w:r>
                </w:p>
              </w:tc>
            </w:tr>
            <w:tr w:rsidR="00B0197B" w:rsidRPr="00D14625" w14:paraId="1A9AABB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B9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25. Organizuoja ir koordinuoja tarpinstitucinį bendradarbiavimą sveikatos klausimais.</w:t>
                  </w:r>
                </w:p>
              </w:tc>
            </w:tr>
            <w:tr w:rsidR="00B0197B" w:rsidRPr="00D14625" w14:paraId="1A9AABB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BB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26. Koordinuoja socialinių partnerių įtraukimą į savivaldybių sve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ikatinimo veiklą.</w:t>
                  </w:r>
                </w:p>
              </w:tc>
            </w:tr>
            <w:tr w:rsidR="00B0197B" w:rsidRPr="00D14625" w14:paraId="1A9AABB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BD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27. Koordinuoja savivaldybėje veikiančių sveikatos priežiūros įstaigų pasirengimą ekstremaliosioms situacijoms ir veiksmus jų metu.</w:t>
                  </w:r>
                </w:p>
              </w:tc>
            </w:tr>
            <w:tr w:rsidR="00B0197B" w:rsidRPr="00D14625" w14:paraId="1A9AABC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BF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28. Vykdo Lietuvos Respublikos žmonių užkrečiamųjų ligų profilaktikos ir kontrolės įstatyme numatytas fu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nkcijas.</w:t>
                  </w:r>
                </w:p>
              </w:tc>
            </w:tr>
            <w:tr w:rsidR="00B0197B" w:rsidRPr="00D14625" w14:paraId="1A9AABC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C1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29. Teikia savivaldybės administracijos direktoriui išvadas ir pasiūlymus dėl lėšų savivaldybės sveikatinimo veiklai finansuoti poreikio bei panaudojimo, griežtesnių negu teisės aktuose numatyti reikalavimų nustatymo visuomenės sveikatos priežiūr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os srityje savivaldybės teritorijoje, kai tai numato įstatymai ir kitas išvadas ir pasiūlymus savo kompetencijos klausimais.</w:t>
                  </w:r>
                </w:p>
              </w:tc>
            </w:tr>
            <w:tr w:rsidR="00B0197B" w:rsidRPr="00D14625" w14:paraId="1A9AABC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C3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30. Pagal kompetenciją prižiūri, ar savivaldybės įmonės, įstaigos ir organizacijos laikosi sveikatinimo veiklą reglamentuojančių į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statymų, vykdo Lietuvos Respublikos Vyriausybės nutarimus ir kitus teisės aktus.</w:t>
                  </w:r>
                </w:p>
              </w:tc>
            </w:tr>
            <w:tr w:rsidR="00B0197B" w:rsidRPr="00D14625" w14:paraId="1A9AABC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C5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31. Pagal kompetenciją užtikrina valstybinių (valstybės perduotų savivaldybėms) visuomenės sveikatos priežiūros funkcijų ir savarankiškųjų visuomenės sveikatos priežiūros fun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kcijų vykdymo kontrolę.</w:t>
                  </w:r>
                </w:p>
              </w:tc>
            </w:tr>
            <w:tr w:rsidR="00B0197B" w:rsidRPr="00D14625" w14:paraId="1A9AABC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C7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32. Pagal savivaldybės administracijos direktoriaus ir savivaldybės mero įgaliojimus rengia Lietuvos Respublikos sveikatos sistemos įstatyme numatytų sveikatinimo veiklos sutarčių projektus, pagal kompetenciją dalyvauja kontroliuoj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ant, kaip jų laikomasi.</w:t>
                  </w:r>
                </w:p>
              </w:tc>
            </w:tr>
            <w:tr w:rsidR="00B0197B" w:rsidRPr="00D14625" w14:paraId="1A9AABC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C9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33. Rengia ir teikia savivaldybės administracijos direktoriui sveikatinimo veiklos teisės aktų projektus.</w:t>
                  </w:r>
                </w:p>
              </w:tc>
            </w:tr>
            <w:tr w:rsidR="00B0197B" w:rsidRPr="00D14625" w14:paraId="1A9AABC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CB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 xml:space="preserve">34. Pagal kompetenciją dalyvauja organizuojant savivaldybės sveikatos priežiūros įstaigų veiklą likviduojant 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stichinių nelaimių, avarijų, epidemijų, ekologinių katastrofų padarinius.</w:t>
                  </w:r>
                </w:p>
              </w:tc>
            </w:tr>
            <w:tr w:rsidR="00B0197B" w:rsidRPr="00D14625" w14:paraId="1A9AABC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CD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35. Nagrinėja pareiškimus ir skundus asmens ir visuomenės sveikatos priežiūros klausimais, sprendžia juos pagal savo įgaliojimus arba perduoda spręsti savivaldybės administracijai p</w:t>
                  </w:r>
                  <w:r w:rsidRPr="00D14625">
                    <w:rPr>
                      <w:color w:val="000000"/>
                      <w:sz w:val="24"/>
                      <w:lang w:val="lt-LT"/>
                    </w:rPr>
                    <w:t>agal kompetenciją.</w:t>
                  </w:r>
                </w:p>
              </w:tc>
            </w:tr>
          </w:tbl>
          <w:p w14:paraId="1A9AABCF" w14:textId="77777777" w:rsidR="00B0197B" w:rsidRPr="00D14625" w:rsidRDefault="00B0197B" w:rsidP="00D14625">
            <w:pPr>
              <w:jc w:val="both"/>
              <w:rPr>
                <w:lang w:val="lt-LT"/>
              </w:rPr>
            </w:pPr>
          </w:p>
        </w:tc>
      </w:tr>
      <w:tr w:rsidR="00B0197B" w:rsidRPr="00D14625" w14:paraId="1A9AABD6" w14:textId="77777777">
        <w:trPr>
          <w:trHeight w:val="99"/>
        </w:trPr>
        <w:tc>
          <w:tcPr>
            <w:tcW w:w="13" w:type="dxa"/>
          </w:tcPr>
          <w:p w14:paraId="1A9AABD1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BD2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BD3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A9AABD4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1A9AABD5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14625" w:rsidRPr="00D14625" w14:paraId="1A9AAC0F" w14:textId="77777777" w:rsidTr="00D14625">
        <w:tc>
          <w:tcPr>
            <w:tcW w:w="13" w:type="dxa"/>
          </w:tcPr>
          <w:p w14:paraId="1A9AABD7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BD8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BD9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p w14:paraId="1A9AABDA" w14:textId="77777777" w:rsidR="00D14625" w:rsidRDefault="00D14625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0197B" w:rsidRPr="00D14625" w14:paraId="1A9AABD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DB" w14:textId="77777777" w:rsidR="00B0197B" w:rsidRPr="00D14625" w:rsidRDefault="009B708E" w:rsidP="00D14625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lastRenderedPageBreak/>
                    <w:t>V SKYRIUS</w:t>
                  </w:r>
                </w:p>
                <w:p w14:paraId="1A9AABDC" w14:textId="77777777" w:rsidR="00B0197B" w:rsidRPr="00D14625" w:rsidRDefault="009B708E" w:rsidP="00D14625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B0197B" w:rsidRPr="00D14625" w14:paraId="1A9AABD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DE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36. Išsilavinimo ir darbo patirties reikalavimai:</w:t>
                  </w:r>
                  <w:r w:rsidRPr="00D1462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0197B" w:rsidRPr="00D14625" w14:paraId="1A9AABFD" w14:textId="77777777">
              <w:trPr>
                <w:trHeight w:val="40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0197B" w:rsidRPr="00D14625" w14:paraId="1A9AABF1" w14:textId="77777777">
                    <w:trPr>
                      <w:trHeight w:val="2721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B0197B" w:rsidRPr="00D14625" w14:paraId="1A9AABE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E0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36.1.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B0197B" w:rsidRPr="00D14625" w14:paraId="1A9AABE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E2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36.2. studijų kryptis – medicina (arba);</w:t>
                              </w:r>
                            </w:p>
                          </w:tc>
                        </w:tr>
                        <w:tr w:rsidR="00B0197B" w:rsidRPr="00D14625" w14:paraId="1A9AABE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E4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36.3. studijų kryptis – visuomenės sveikata (arba);</w:t>
                              </w:r>
                            </w:p>
                          </w:tc>
                        </w:tr>
                        <w:tr w:rsidR="00B0197B" w:rsidRPr="00D14625" w14:paraId="1A9AABE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E6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36.4. stud</w:t>
                              </w: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ijų kryptis – slauga ir akušerija (arba);</w:t>
                              </w:r>
                            </w:p>
                          </w:tc>
                        </w:tr>
                        <w:tr w:rsidR="00B0197B" w:rsidRPr="00D14625" w14:paraId="1A9AABE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E8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36.5. studijų kryptis – odontologija (arba);</w:t>
                              </w:r>
                            </w:p>
                          </w:tc>
                        </w:tr>
                        <w:tr w:rsidR="00B0197B" w:rsidRPr="00D14625" w14:paraId="1A9AABE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EA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36.6. darbo patirtis – turėti darbo stažą, nustatytą savivaldybės gydytojui Lietuvos Respublikos sveikatos apsaugos ministro 2003 m. liepos 11 d. įsakymu Nr. V-446;</w:t>
                              </w:r>
                            </w:p>
                          </w:tc>
                        </w:tr>
                        <w:tr w:rsidR="00B0197B" w:rsidRPr="00D14625" w14:paraId="1A9AABE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EC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</w:t>
                              </w: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6.7. darbo patirties trukmė – 1 metai; </w:t>
                              </w:r>
                            </w:p>
                          </w:tc>
                        </w:tr>
                        <w:tr w:rsidR="00B0197B" w:rsidRPr="00D14625" w14:paraId="1A9AABE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EE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1A9AABF0" w14:textId="77777777" w:rsidR="00B0197B" w:rsidRPr="00D14625" w:rsidRDefault="00B0197B" w:rsidP="00D14625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B0197B" w:rsidRPr="00D14625" w14:paraId="1A9AABFB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B0197B" w:rsidRPr="00D14625" w14:paraId="1A9AABF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F2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36.8.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B0197B" w:rsidRPr="00D14625" w14:paraId="1A9AABF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F4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36.9. studijų kryptis – reabilitacija (arba);</w:t>
                              </w:r>
                            </w:p>
                          </w:tc>
                        </w:tr>
                        <w:tr w:rsidR="00B0197B" w:rsidRPr="00D14625" w14:paraId="1A9AABF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F6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36.10. darbo patirtis – turėti darbo stažą, nustatytą savi</w:t>
                              </w: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valdybės gydytojui Lietuvos Respublikos sveikatos apsaugos ministro 2003 m. liepos 11 d. įsakymu Nr. V-446;</w:t>
                              </w:r>
                            </w:p>
                          </w:tc>
                        </w:tr>
                        <w:tr w:rsidR="00B0197B" w:rsidRPr="00D14625" w14:paraId="1A9AABF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AABF8" w14:textId="77777777" w:rsidR="00B0197B" w:rsidRPr="00D14625" w:rsidRDefault="009B708E" w:rsidP="00D14625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1462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36.11. darbo patirties trukmė – 1 metai. </w:t>
                              </w:r>
                            </w:p>
                          </w:tc>
                        </w:tr>
                      </w:tbl>
                      <w:p w14:paraId="1A9AABFA" w14:textId="77777777" w:rsidR="00B0197B" w:rsidRPr="00D14625" w:rsidRDefault="00B0197B" w:rsidP="00D14625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1A9AABFC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BF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BFE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37. Užsienio kalbos mokėjimo reikalavimai:</w:t>
                  </w:r>
                  <w:r w:rsidRPr="00D1462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0197B" w:rsidRPr="00D14625" w14:paraId="1A9AAC03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0197B" w:rsidRPr="00D14625" w14:paraId="1A9AAC0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00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37.1. kalba – anglų arba vokiečių ir prancūzų;</w:t>
                        </w:r>
                      </w:p>
                    </w:tc>
                  </w:tr>
                </w:tbl>
                <w:p w14:paraId="1A9AAC02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07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0197B" w:rsidRPr="00D14625" w14:paraId="1A9AAC0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04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37.2. kalbos mokėjimo lygis – B1.</w:t>
                        </w:r>
                      </w:p>
                    </w:tc>
                  </w:tr>
                </w:tbl>
                <w:p w14:paraId="1A9AAC06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0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08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38. Atitikimas kitiems reikalavimams:</w:t>
                  </w:r>
                  <w:r w:rsidRPr="00D1462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0197B" w:rsidRPr="00D14625" w14:paraId="1A9AAC0D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0197B" w:rsidRPr="00D14625" w14:paraId="1A9AAC0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0A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38.1. atitikti kvalifikacinius reikalavimus savivaldybės gydytojui, patvirtintus Lietuvos Respublikos sveikatos apsaugos ministro 2003 m. liepos 11 d. įsakymu Nr. V-446.</w:t>
                        </w:r>
                      </w:p>
                    </w:tc>
                  </w:tr>
                </w:tbl>
                <w:p w14:paraId="1A9AAC0C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1A9AAC0E" w14:textId="77777777" w:rsidR="00B0197B" w:rsidRPr="00D14625" w:rsidRDefault="00B0197B" w:rsidP="00D14625">
            <w:pPr>
              <w:jc w:val="both"/>
              <w:rPr>
                <w:lang w:val="lt-LT"/>
              </w:rPr>
            </w:pPr>
          </w:p>
        </w:tc>
      </w:tr>
      <w:tr w:rsidR="00B0197B" w:rsidRPr="00D14625" w14:paraId="1A9AAC15" w14:textId="77777777">
        <w:trPr>
          <w:trHeight w:val="62"/>
        </w:trPr>
        <w:tc>
          <w:tcPr>
            <w:tcW w:w="13" w:type="dxa"/>
          </w:tcPr>
          <w:p w14:paraId="1A9AAC10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C11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C12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A9AAC13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1A9AAC14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14625" w:rsidRPr="00D14625" w14:paraId="1A9AAC48" w14:textId="77777777" w:rsidTr="00D14625">
        <w:tc>
          <w:tcPr>
            <w:tcW w:w="13" w:type="dxa"/>
          </w:tcPr>
          <w:p w14:paraId="1A9AAC16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C17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C18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0197B" w:rsidRPr="00D14625" w14:paraId="1A9AAC1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19" w14:textId="77777777" w:rsidR="00B0197B" w:rsidRPr="00D14625" w:rsidRDefault="009B708E" w:rsidP="00D14625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1A9AAC1A" w14:textId="77777777" w:rsidR="00B0197B" w:rsidRPr="00D14625" w:rsidRDefault="009B708E" w:rsidP="00D14625">
                  <w:pPr>
                    <w:jc w:val="center"/>
                    <w:rPr>
                      <w:lang w:val="lt-LT"/>
                    </w:rPr>
                  </w:pPr>
                  <w:r w:rsidRPr="00D14625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B0197B" w:rsidRPr="00D14625" w14:paraId="1A9AAC1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1C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39. Bendrosios kompetencijos ir jų pakankami lygiai:</w:t>
                  </w:r>
                  <w:r w:rsidRPr="00D1462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0197B" w:rsidRPr="00D14625" w14:paraId="1A9AAC29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0197B" w:rsidRPr="00D14625" w14:paraId="1A9AAC1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1E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39.1. komunikacija – 5;</w:t>
                        </w:r>
                      </w:p>
                    </w:tc>
                  </w:tr>
                  <w:tr w:rsidR="00B0197B" w:rsidRPr="00D14625" w14:paraId="1A9AAC2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20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39.2. analizė ir pagrindimas – 4;</w:t>
                        </w:r>
                      </w:p>
                    </w:tc>
                  </w:tr>
                  <w:tr w:rsidR="00B0197B" w:rsidRPr="00D14625" w14:paraId="1A9AAC2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22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39.3. patikimumas ir atsakingumas – 4;</w:t>
                        </w:r>
                      </w:p>
                    </w:tc>
                  </w:tr>
                  <w:tr w:rsidR="00B0197B" w:rsidRPr="00D14625" w14:paraId="1A9AAC2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24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39.4. organizuotumas – 4;</w:t>
                        </w:r>
                      </w:p>
                    </w:tc>
                  </w:tr>
                  <w:tr w:rsidR="00B0197B" w:rsidRPr="00D14625" w14:paraId="1A9AAC2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26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39.5. vertės visuomenei kūrimas – 4.</w:t>
                        </w:r>
                      </w:p>
                    </w:tc>
                  </w:tr>
                </w:tbl>
                <w:p w14:paraId="1A9AAC28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2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2A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40. Vadybinės ir lyderystės kompetencijos ir jų pakankami lygiai:</w:t>
                  </w:r>
                  <w:r w:rsidRPr="00D1462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0197B" w:rsidRPr="00D14625" w14:paraId="1A9AAC33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0197B" w:rsidRPr="00D14625" w14:paraId="1A9AAC2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2C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40.1. lyderystė – 4;</w:t>
                        </w:r>
                      </w:p>
                    </w:tc>
                  </w:tr>
                  <w:tr w:rsidR="00B0197B" w:rsidRPr="00D14625" w14:paraId="1A9AAC2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2E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40.2. veiklos valdymas – 4;</w:t>
                        </w:r>
                      </w:p>
                    </w:tc>
                  </w:tr>
                  <w:tr w:rsidR="00B0197B" w:rsidRPr="00D14625" w14:paraId="1A9AAC3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30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40.3. strateginis požiūris – 4.</w:t>
                        </w:r>
                      </w:p>
                    </w:tc>
                  </w:tr>
                </w:tbl>
                <w:p w14:paraId="1A9AAC32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3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34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41. Specifinės kompetencijos ir jų pakankami lygiai:</w:t>
                  </w:r>
                  <w:r w:rsidRPr="00D1462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0197B" w:rsidRPr="00D14625" w14:paraId="1A9AAC40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AAC36" w14:textId="77777777" w:rsidR="00D14625" w:rsidRDefault="00D14625"/>
                <w:p w14:paraId="1A9AAC37" w14:textId="77777777" w:rsidR="00D14625" w:rsidRDefault="00D14625"/>
                <w:p w14:paraId="1A9AAC38" w14:textId="77777777" w:rsidR="00D14625" w:rsidRDefault="00D14625"/>
                <w:p w14:paraId="1A9AAC39" w14:textId="77777777" w:rsidR="00D14625" w:rsidRDefault="00D14625"/>
                <w:p w14:paraId="1A9AAC3A" w14:textId="77777777" w:rsidR="00D14625" w:rsidRDefault="00D14625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0197B" w:rsidRPr="00D14625" w14:paraId="1A9AAC3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3B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41.1. informacijos valdymas – 4;</w:t>
                        </w:r>
                      </w:p>
                    </w:tc>
                  </w:tr>
                  <w:tr w:rsidR="00B0197B" w:rsidRPr="00D14625" w14:paraId="1A9AAC3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3D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41.2. įžvalgumas – 4.</w:t>
                        </w:r>
                      </w:p>
                    </w:tc>
                  </w:tr>
                </w:tbl>
                <w:p w14:paraId="1A9AAC3F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4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41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lastRenderedPageBreak/>
                    <w:t>42. Profesinės kompetencijos ir jų pakankami lygiai:</w:t>
                  </w:r>
                  <w:r w:rsidRPr="00D1462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0197B" w:rsidRPr="00D14625" w14:paraId="1A9AAC4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0197B" w:rsidRPr="00D14625" w14:paraId="1A9AAC4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9AAC43" w14:textId="77777777" w:rsidR="00B0197B" w:rsidRPr="00D14625" w:rsidRDefault="009B708E" w:rsidP="00D14625">
                        <w:pPr>
                          <w:jc w:val="both"/>
                          <w:rPr>
                            <w:lang w:val="lt-LT"/>
                          </w:rPr>
                        </w:pPr>
                        <w:r w:rsidRPr="00D14625">
                          <w:rPr>
                            <w:color w:val="000000"/>
                            <w:sz w:val="24"/>
                            <w:lang w:val="lt-LT"/>
                          </w:rPr>
                          <w:t>42.1. veiklos planavimas – 4.</w:t>
                        </w:r>
                      </w:p>
                    </w:tc>
                  </w:tr>
                </w:tbl>
                <w:p w14:paraId="1A9AAC45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1A9AAC47" w14:textId="77777777" w:rsidR="00B0197B" w:rsidRPr="00D14625" w:rsidRDefault="00B0197B" w:rsidP="00D14625">
            <w:pPr>
              <w:jc w:val="both"/>
              <w:rPr>
                <w:lang w:val="lt-LT"/>
              </w:rPr>
            </w:pPr>
          </w:p>
        </w:tc>
      </w:tr>
      <w:tr w:rsidR="00B0197B" w14:paraId="1A9AAC4E" w14:textId="77777777">
        <w:trPr>
          <w:trHeight w:val="517"/>
        </w:trPr>
        <w:tc>
          <w:tcPr>
            <w:tcW w:w="13" w:type="dxa"/>
          </w:tcPr>
          <w:p w14:paraId="1A9AAC49" w14:textId="77777777" w:rsidR="00B0197B" w:rsidRDefault="00B0197B" w:rsidP="00D14625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1A9AAC4A" w14:textId="77777777" w:rsidR="00B0197B" w:rsidRDefault="00B0197B" w:rsidP="00D14625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1A9AAC4B" w14:textId="77777777" w:rsidR="00B0197B" w:rsidRDefault="00B0197B" w:rsidP="00D14625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1A9AAC4C" w14:textId="77777777" w:rsidR="00B0197B" w:rsidRDefault="00B0197B" w:rsidP="00D14625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1A9AAC4D" w14:textId="77777777" w:rsidR="00B0197B" w:rsidRDefault="00B0197B" w:rsidP="00D14625">
            <w:pPr>
              <w:pStyle w:val="EmptyLayoutCell"/>
              <w:jc w:val="both"/>
            </w:pPr>
          </w:p>
        </w:tc>
      </w:tr>
      <w:tr w:rsidR="00D14625" w:rsidRPr="00D14625" w14:paraId="1A9AAC6B" w14:textId="77777777" w:rsidTr="00D14625">
        <w:tc>
          <w:tcPr>
            <w:tcW w:w="13" w:type="dxa"/>
          </w:tcPr>
          <w:p w14:paraId="1A9AAC4F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C50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A9AAC51" w14:textId="77777777" w:rsidR="00B0197B" w:rsidRPr="00D14625" w:rsidRDefault="00B0197B" w:rsidP="00D14625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B0197B" w:rsidRPr="00D14625" w14:paraId="1A9AAC5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52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53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5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55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56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5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58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59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5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5B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5C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6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5E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5F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6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61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62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6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64" w14:textId="77777777" w:rsidR="00B0197B" w:rsidRPr="00D14625" w:rsidRDefault="009B708E" w:rsidP="00D14625">
                  <w:pPr>
                    <w:jc w:val="both"/>
                    <w:rPr>
                      <w:lang w:val="lt-LT"/>
                    </w:rPr>
                  </w:pPr>
                  <w:r w:rsidRPr="00D14625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65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B0197B" w:rsidRPr="00D14625" w14:paraId="1A9AAC6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67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AAC68" w14:textId="77777777" w:rsidR="00B0197B" w:rsidRPr="00D14625" w:rsidRDefault="00B0197B" w:rsidP="00D14625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1A9AAC6A" w14:textId="77777777" w:rsidR="00B0197B" w:rsidRPr="00D14625" w:rsidRDefault="00B0197B" w:rsidP="00D14625">
            <w:pPr>
              <w:jc w:val="both"/>
              <w:rPr>
                <w:lang w:val="lt-LT"/>
              </w:rPr>
            </w:pPr>
          </w:p>
        </w:tc>
      </w:tr>
      <w:tr w:rsidR="00B0197B" w14:paraId="1A9AAC71" w14:textId="77777777">
        <w:trPr>
          <w:trHeight w:val="41"/>
        </w:trPr>
        <w:tc>
          <w:tcPr>
            <w:tcW w:w="13" w:type="dxa"/>
          </w:tcPr>
          <w:p w14:paraId="1A9AAC6C" w14:textId="77777777" w:rsidR="00B0197B" w:rsidRDefault="00B0197B" w:rsidP="00D14625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1A9AAC6D" w14:textId="77777777" w:rsidR="00B0197B" w:rsidRDefault="00B0197B" w:rsidP="00D14625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1A9AAC6E" w14:textId="77777777" w:rsidR="00B0197B" w:rsidRDefault="00B0197B" w:rsidP="00D14625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1A9AAC6F" w14:textId="77777777" w:rsidR="00B0197B" w:rsidRDefault="00B0197B" w:rsidP="00D14625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1A9AAC70" w14:textId="77777777" w:rsidR="00B0197B" w:rsidRDefault="00B0197B" w:rsidP="00D14625">
            <w:pPr>
              <w:pStyle w:val="EmptyLayoutCell"/>
              <w:jc w:val="both"/>
            </w:pPr>
          </w:p>
        </w:tc>
      </w:tr>
    </w:tbl>
    <w:p w14:paraId="1A9AAC72" w14:textId="77777777" w:rsidR="002D13E9" w:rsidRDefault="002D13E9" w:rsidP="00D14625">
      <w:pPr>
        <w:jc w:val="both"/>
      </w:pPr>
    </w:p>
    <w:sectPr w:rsidR="002D13E9" w:rsidSect="00D14625">
      <w:pgSz w:w="11905" w:h="16837"/>
      <w:pgMar w:top="1134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25"/>
    <w:rsid w:val="002D13E9"/>
    <w:rsid w:val="007958B1"/>
    <w:rsid w:val="009B708E"/>
    <w:rsid w:val="00B0197B"/>
    <w:rsid w:val="00D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AAB17"/>
  <w15:chartTrackingRefBased/>
  <w15:docId w15:val="{F2099599-0535-45FC-8FB8-BCCF3FD7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6611</Characters>
  <Application>Microsoft Office Word</Application>
  <DocSecurity>4</DocSecurity>
  <Lines>55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Janina Noraitienė</dc:creator>
  <cp:lastModifiedBy>Janina Noraitienė</cp:lastModifiedBy>
  <cp:revision>2</cp:revision>
  <dcterms:created xsi:type="dcterms:W3CDTF">2023-05-02T08:12:00Z</dcterms:created>
  <dcterms:modified xsi:type="dcterms:W3CDTF">2023-05-02T08:12:00Z</dcterms:modified>
</cp:coreProperties>
</file>