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737"/>
        <w:gridCol w:w="6"/>
      </w:tblGrid>
      <w:tr w:rsidR="006E44F0" w14:paraId="0281F64D" w14:textId="77777777" w:rsidTr="006E44F0">
        <w:tc>
          <w:tcPr>
            <w:tcW w:w="9781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6E44F0" w14:paraId="77EA7FA3" w14:textId="77777777" w:rsidTr="006E44F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52A0A4" w14:textId="77777777" w:rsidR="004B2CB5" w:rsidRDefault="004B2CB5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E9B068" w14:textId="77777777" w:rsidR="004B2CB5" w:rsidRDefault="002F6DC4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E44F0" w14:paraId="45F760A9" w14:textId="77777777" w:rsidTr="006E44F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F9908" w14:textId="77777777" w:rsidR="006E44F0" w:rsidRDefault="006E44F0" w:rsidP="006E44F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0EBBD3" w14:textId="3131B9AB" w:rsidR="006E44F0" w:rsidRDefault="006E44F0" w:rsidP="006E44F0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6E44F0" w14:paraId="5C827C8E" w14:textId="77777777" w:rsidTr="006E44F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440CC9" w14:textId="77777777" w:rsidR="006E44F0" w:rsidRDefault="006E44F0" w:rsidP="006E44F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AB493E" w14:textId="45394157" w:rsidR="006E44F0" w:rsidRDefault="006E44F0" w:rsidP="006E44F0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lapkričio </w:t>
                  </w:r>
                  <w:r w:rsidR="00344997">
                    <w:rPr>
                      <w:sz w:val="24"/>
                      <w:szCs w:val="24"/>
                      <w:lang w:val="lt-LT"/>
                    </w:rPr>
                    <w:t>20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>d.</w:t>
                  </w:r>
                </w:p>
              </w:tc>
            </w:tr>
            <w:tr w:rsidR="006E44F0" w14:paraId="73D55A31" w14:textId="77777777" w:rsidTr="006E44F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4F1349F" w14:textId="77777777" w:rsidR="006E44F0" w:rsidRDefault="006E44F0" w:rsidP="006E44F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C73DC" w14:textId="5119512F" w:rsidR="006E44F0" w:rsidRDefault="006E44F0" w:rsidP="006E44F0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344997">
                    <w:rPr>
                      <w:color w:val="000000"/>
                      <w:sz w:val="24"/>
                      <w:szCs w:val="24"/>
                      <w:lang w:val="lt-LT"/>
                    </w:rPr>
                    <w:t>1262</w:t>
                  </w:r>
                </w:p>
              </w:tc>
            </w:tr>
            <w:tr w:rsidR="006E44F0" w14:paraId="3E64CCDB" w14:textId="77777777" w:rsidTr="006E44F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F2031C" w14:textId="77777777" w:rsidR="004B2CB5" w:rsidRDefault="004B2CB5"/>
              </w:tc>
            </w:tr>
            <w:tr w:rsidR="006E44F0" w14:paraId="2BD3E9B8" w14:textId="77777777" w:rsidTr="006E44F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13CAC5" w14:textId="77777777" w:rsidR="004B2CB5" w:rsidRDefault="002F6DC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E44F0" w14:paraId="1CDC4830" w14:textId="77777777" w:rsidTr="006E44F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B9FE93" w14:textId="77777777" w:rsidR="004B2CB5" w:rsidRDefault="002F6DC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ŠVIETIMO SKYRIAUS</w:t>
                  </w:r>
                </w:p>
              </w:tc>
            </w:tr>
            <w:tr w:rsidR="006E44F0" w14:paraId="4DF1A547" w14:textId="77777777" w:rsidTr="006E44F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CA0A5E" w14:textId="77777777" w:rsidR="004B2CB5" w:rsidRDefault="002F6DC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6E44F0" w14:paraId="6D39E638" w14:textId="77777777" w:rsidTr="006E44F0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5E6531" w14:textId="77777777" w:rsidR="004B2CB5" w:rsidRDefault="002F6DC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6141F564" w14:textId="77777777" w:rsidR="004B2CB5" w:rsidRDefault="004B2CB5"/>
        </w:tc>
        <w:tc>
          <w:tcPr>
            <w:tcW w:w="6" w:type="dxa"/>
          </w:tcPr>
          <w:p w14:paraId="466DEF4B" w14:textId="77777777" w:rsidR="004B2CB5" w:rsidRDefault="004B2CB5">
            <w:pPr>
              <w:pStyle w:val="EmptyLayoutCell"/>
            </w:pPr>
          </w:p>
        </w:tc>
      </w:tr>
      <w:tr w:rsidR="004B2CB5" w:rsidRPr="006E44F0" w14:paraId="744FC41D" w14:textId="77777777" w:rsidTr="006E44F0">
        <w:trPr>
          <w:trHeight w:val="349"/>
        </w:trPr>
        <w:tc>
          <w:tcPr>
            <w:tcW w:w="20" w:type="dxa"/>
          </w:tcPr>
          <w:p w14:paraId="4ED2AA9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2E7025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7351261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0B2EDE1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00B808F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2989019C" w14:textId="77777777" w:rsidTr="006E44F0">
        <w:tc>
          <w:tcPr>
            <w:tcW w:w="20" w:type="dxa"/>
          </w:tcPr>
          <w:p w14:paraId="3323886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96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27"/>
            </w:tblGrid>
            <w:tr w:rsidR="004B2CB5" w:rsidRPr="006E44F0" w14:paraId="2695E16C" w14:textId="77777777" w:rsidTr="006E44F0">
              <w:trPr>
                <w:trHeight w:val="720"/>
              </w:trPr>
              <w:tc>
                <w:tcPr>
                  <w:tcW w:w="962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3447E8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1B7787A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4B2CB5" w:rsidRPr="006E44F0" w14:paraId="158E9AA5" w14:textId="77777777" w:rsidTr="006E44F0">
              <w:trPr>
                <w:trHeight w:val="260"/>
              </w:trPr>
              <w:tc>
                <w:tcPr>
                  <w:tcW w:w="962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F5C4DF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4B2CB5" w:rsidRPr="006E44F0" w14:paraId="249CEEBB" w14:textId="77777777" w:rsidTr="006E44F0">
              <w:trPr>
                <w:trHeight w:val="260"/>
              </w:trPr>
              <w:tc>
                <w:tcPr>
                  <w:tcW w:w="962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CF7A8B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337F334F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61947C38" w14:textId="77777777" w:rsidTr="006E44F0">
        <w:trPr>
          <w:trHeight w:val="120"/>
        </w:trPr>
        <w:tc>
          <w:tcPr>
            <w:tcW w:w="20" w:type="dxa"/>
          </w:tcPr>
          <w:p w14:paraId="080F8C5A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7880188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7AF980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4667DAF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19475BAB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04D85ACD" w14:textId="77777777" w:rsidTr="006E44F0">
        <w:tc>
          <w:tcPr>
            <w:tcW w:w="20" w:type="dxa"/>
          </w:tcPr>
          <w:p w14:paraId="186E6D07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50A414C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59629C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0328D5F0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56A2C50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BEFAA8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776A24F8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184AD9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D6CF6F5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 xml:space="preserve">3.1. viešųjų paslaugų </w:t>
                        </w: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teikimo administravimas.</w:t>
                        </w:r>
                      </w:p>
                    </w:tc>
                  </w:tr>
                </w:tbl>
                <w:p w14:paraId="0A97AA3A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694F7D2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193D3F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4. Papildoma (-</w:t>
                  </w:r>
                  <w:proofErr w:type="spellStart"/>
                  <w:r w:rsidRPr="006E44F0">
                    <w:rPr>
                      <w:color w:val="000000"/>
                      <w:sz w:val="24"/>
                      <w:lang w:val="lt-LT"/>
                    </w:rPr>
                    <w:t>os</w:t>
                  </w:r>
                  <w:proofErr w:type="spellEnd"/>
                  <w:r w:rsidRPr="006E44F0">
                    <w:rPr>
                      <w:color w:val="000000"/>
                      <w:sz w:val="24"/>
                      <w:lang w:val="lt-LT"/>
                    </w:rPr>
                    <w:t>) veiklos sritis (-</w:t>
                  </w:r>
                  <w:proofErr w:type="spellStart"/>
                  <w:r w:rsidRPr="006E44F0">
                    <w:rPr>
                      <w:color w:val="000000"/>
                      <w:sz w:val="24"/>
                      <w:lang w:val="lt-LT"/>
                    </w:rPr>
                    <w:t>ys</w:t>
                  </w:r>
                  <w:proofErr w:type="spellEnd"/>
                  <w:r w:rsidRPr="006E44F0">
                    <w:rPr>
                      <w:color w:val="000000"/>
                      <w:sz w:val="24"/>
                      <w:lang w:val="lt-LT"/>
                    </w:rPr>
                    <w:t>):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4B01DCA7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6E14DA2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81A7F3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4.1. stebėsena ir analizė;</w:t>
                        </w:r>
                      </w:p>
                    </w:tc>
                  </w:tr>
                  <w:tr w:rsidR="004B2CB5" w:rsidRPr="006E44F0" w14:paraId="192BA03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10147C8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4.2. priežiūra ir kontrolė.</w:t>
                        </w:r>
                      </w:p>
                    </w:tc>
                  </w:tr>
                </w:tbl>
                <w:p w14:paraId="39AD5E27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217ACE62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6D795CE5" w14:textId="77777777" w:rsidTr="006E44F0">
        <w:trPr>
          <w:trHeight w:val="126"/>
        </w:trPr>
        <w:tc>
          <w:tcPr>
            <w:tcW w:w="20" w:type="dxa"/>
          </w:tcPr>
          <w:p w14:paraId="7B201DC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A24053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72E8A3E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61E408F0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0437D880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0D8D9492" w14:textId="77777777" w:rsidTr="006E44F0">
        <w:tc>
          <w:tcPr>
            <w:tcW w:w="20" w:type="dxa"/>
          </w:tcPr>
          <w:p w14:paraId="63EDB87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70A1931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C9E5FA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29886543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33740F3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945B02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5. Pagrindinės veiklos srities specializacija: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53EB225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46F9EC3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6780F91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 xml:space="preserve">5.1. pedagogų pritraukimo, </w:t>
                        </w: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perkvalifikavimo, pedagogų ir vadovų kvalifikacijos tobulinimo, mentorystės ir lyderystės programų įgyvendinimas, švietimo įstaigų veiklos kokybės įsivertinimo ir išorinio vertinimo organizavimas.</w:t>
                        </w:r>
                      </w:p>
                    </w:tc>
                  </w:tr>
                </w:tbl>
                <w:p w14:paraId="7CE763C3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16D4B28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90DF55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6. Papildomos (-ų) veiklos srities (-</w:t>
                  </w:r>
                  <w:proofErr w:type="spellStart"/>
                  <w:r w:rsidRPr="006E44F0">
                    <w:rPr>
                      <w:color w:val="000000"/>
                      <w:sz w:val="24"/>
                      <w:lang w:val="lt-LT"/>
                    </w:rPr>
                    <w:t>čių</w:t>
                  </w:r>
                  <w:proofErr w:type="spellEnd"/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)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specializacija: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5B4D248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1596BFE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D16EDB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6.1. švietimo būklės analizavimas ir stebėsenos pagal personalo  ir besimokančiųjų, švietimo aplinkos, švietimo rezultatų ir pasekmių rodiklius vykdymas;</w:t>
                        </w:r>
                      </w:p>
                    </w:tc>
                  </w:tr>
                  <w:tr w:rsidR="004B2CB5" w:rsidRPr="006E44F0" w14:paraId="3953AD3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34C833D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6.2. priskirtų švietimo srities procesų ir švietimo įstaigų veiklos  priežiūra.</w:t>
                        </w:r>
                      </w:p>
                    </w:tc>
                  </w:tr>
                </w:tbl>
                <w:p w14:paraId="5A2868E6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9805618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0C1B423A" w14:textId="77777777" w:rsidTr="006E44F0">
        <w:trPr>
          <w:trHeight w:val="99"/>
        </w:trPr>
        <w:tc>
          <w:tcPr>
            <w:tcW w:w="20" w:type="dxa"/>
          </w:tcPr>
          <w:p w14:paraId="0B896A20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1B9133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423B4D3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08DCB5D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1638622E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43CBC9AA" w14:textId="77777777" w:rsidTr="006E44F0">
        <w:tc>
          <w:tcPr>
            <w:tcW w:w="20" w:type="dxa"/>
          </w:tcPr>
          <w:p w14:paraId="0CC85170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7BE8E929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5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5D86592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45C1EE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5C2DA100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061763C6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3D1084F4" w14:textId="77777777" w:rsidTr="006E44F0">
        <w:trPr>
          <w:trHeight w:val="39"/>
        </w:trPr>
        <w:tc>
          <w:tcPr>
            <w:tcW w:w="20" w:type="dxa"/>
          </w:tcPr>
          <w:p w14:paraId="7C04582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DB67808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6C2796A8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45CB9D5F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F61268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1A61A7E2" w14:textId="77777777" w:rsidTr="006E44F0">
        <w:tc>
          <w:tcPr>
            <w:tcW w:w="20" w:type="dxa"/>
          </w:tcPr>
          <w:p w14:paraId="3DC9520B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66CCE09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5D3BD2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7. Konsultuoja priskirtos srities klausimais.</w:t>
                  </w:r>
                </w:p>
              </w:tc>
            </w:tr>
            <w:tr w:rsidR="004B2CB5" w:rsidRPr="006E44F0" w14:paraId="5F5526B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12A6B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8. Nagrinėja prašymus ir kitus dokumentus sudėtingais klausimais dėl viešųjų paslaugų teikimo administravimo veiklų vykdymo arba prireikus koordinuoja prašymų ir kitų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dokumentų sudėtingais klausimais dėl viešųjų paslaugų teikimo administravimo veiklų vykdymo nagrinėjimą, rengia sprendimus ir atsakymus arba prireikus koordinuoja sprendimų ir atsakymų rengimą.</w:t>
                  </w:r>
                </w:p>
              </w:tc>
            </w:tr>
            <w:tr w:rsidR="004B2CB5" w:rsidRPr="006E44F0" w14:paraId="1EFFE8D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BBC84C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9. Rengia ir teikia informaciją su viešųjų paslaugų teikimo a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dministravimu susijusiais sudėtingais klausimais arba prireikus koordinuoja viešųjų paslaugų teikimo administravimu susijusiais sudėtingais klausimais rengimą ir teikimą.</w:t>
                  </w:r>
                </w:p>
              </w:tc>
            </w:tr>
            <w:tr w:rsidR="004B2CB5" w:rsidRPr="006E44F0" w14:paraId="6B53383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9398A1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10. Rengia ir teikia pasiūlymus su viešųjų paslaugų teikimo administravimu susijusia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is klausimais.</w:t>
                  </w:r>
                </w:p>
              </w:tc>
            </w:tr>
            <w:tr w:rsidR="004B2CB5" w:rsidRPr="006E44F0" w14:paraId="3EB5C2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A1A7F8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lastRenderedPageBreak/>
                    <w:t>11. Rengia teisės aktų projektus ir kitus susijusius dokumentus dėl viešųjų paslaugų teikimo administravimo arba prireikus koordinuoja teisės aktų projektų ir kitų susijusių dokumentų dėl viešųjų paslaugų teikimo administravimo rengimą.</w:t>
                  </w:r>
                </w:p>
              </w:tc>
            </w:tr>
            <w:tr w:rsidR="004B2CB5" w:rsidRPr="006E44F0" w14:paraId="06EBF13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EA7734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12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. Apdoroja su viešųjų paslaugų teikimo administravimu susijusią informaciją arba prireikus koordinuoja su viešųjų paslaugų teikimo administravimu susijusios informacijos apdorojimą.</w:t>
                  </w:r>
                </w:p>
              </w:tc>
            </w:tr>
            <w:tr w:rsidR="004B2CB5" w:rsidRPr="006E44F0" w14:paraId="5ACFA63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909C79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13. Apdoroja su stebėsena ir (ar) analize susijusią informaciją arba prir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eikus koordinuoja susijusios informacijos apdorojimą.</w:t>
                  </w:r>
                </w:p>
              </w:tc>
            </w:tr>
            <w:tr w:rsidR="004B2CB5" w:rsidRPr="006E44F0" w14:paraId="132E385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28B17F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14. Atlieka skaičiavimus ir prognozavimą arba prireikus koordinuoja skaičiavimų ir prognozavimų atlikimą.</w:t>
                  </w:r>
                </w:p>
              </w:tc>
            </w:tr>
            <w:tr w:rsidR="004B2CB5" w:rsidRPr="006E44F0" w14:paraId="44ADB57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344E53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15. Atlieka suformuotos politikos ir dokumentų nuostatų įgyvendinimo, statistinių rodiklių ste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4B2CB5" w:rsidRPr="006E44F0" w14:paraId="66BE27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189FFA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16. Rengia ataskaitas, išvadas ir kitus dokumentus arba prireikus koordinuoj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a ataskaitų, išvadų ir kitų dokumentų rengimą.</w:t>
                  </w:r>
                </w:p>
              </w:tc>
            </w:tr>
            <w:tr w:rsidR="004B2CB5" w:rsidRPr="006E44F0" w14:paraId="511D325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04898A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17. Rengia ir teikia informaciją su stebėsena ir (ar) analize susijusiais sudėtingais klausimais arba prireikus koordinuoja informacijos su stebėsena ir (ar) analize susijusiais sudėtingais klausimais rengimą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 ir teikimą.</w:t>
                  </w:r>
                </w:p>
              </w:tc>
            </w:tr>
            <w:tr w:rsidR="004B2CB5" w:rsidRPr="006E44F0" w14:paraId="06CBFA3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224C0A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18. Rengia ir teikia pasiūlymus su stebėsena ir (ar) analize susijusiais klausimais.</w:t>
                  </w:r>
                </w:p>
              </w:tc>
            </w:tr>
            <w:tr w:rsidR="004B2CB5" w:rsidRPr="006E44F0" w14:paraId="65CDACF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4A0C7B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19. Rengia teisės aktų projektus ir kitus susijusius dokumentus dėl stebėsenos ir (ar) analizės vykdymo arba prireikus koordinuoja teisės aktų projektų ir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kitų susijusių dokumentų dėl stebėsenos ir (ar) analizės rengimą.</w:t>
                  </w:r>
                </w:p>
              </w:tc>
            </w:tr>
            <w:tr w:rsidR="004B2CB5" w:rsidRPr="006E44F0" w14:paraId="21D065B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724BBD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20. Atlieka priežiūros ir (ar) kontrolės veiklas arba prireikus koordinuoja priežiūros ir (ar) kontrolės veiklų atlikimą.</w:t>
                  </w:r>
                </w:p>
              </w:tc>
            </w:tr>
            <w:tr w:rsidR="004B2CB5" w:rsidRPr="006E44F0" w14:paraId="4B289A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B8921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21. Nagrinėja skundus ir kitus dokumentus sudėtingais klausimais d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ėl priežiūros ir (ar) kontrolės vykdymo arba prireikus koordinuoja skundų ir dokumentų sudėtingais klausimais dėl priežiūros ir (ar) kontrolės vykdymo nagrinėjimą, rengia atsakymus arba prireikus koordinuoja atsakymų rengimą.</w:t>
                  </w:r>
                </w:p>
              </w:tc>
            </w:tr>
            <w:tr w:rsidR="004B2CB5" w:rsidRPr="006E44F0" w14:paraId="485BCAC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C7357C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22. Rengia ir teikia informac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iją su priežiūra ir (ar) kontrole susijusiais sudėtingais klausimais arba prireikus koordinuoja informacijos su priežiūra ir (ar) kontrole susijusiais sudėtingais klausimais rengimą ir teikimą.</w:t>
                  </w:r>
                </w:p>
              </w:tc>
            </w:tr>
            <w:tr w:rsidR="004B2CB5" w:rsidRPr="006E44F0" w14:paraId="24CD7B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7F5ADD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23. Rengia ir teikia pasiūlymus su priežiūra ir (ar) kontrole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 susijusiais klausimais.</w:t>
                  </w:r>
                </w:p>
              </w:tc>
            </w:tr>
          </w:tbl>
          <w:p w14:paraId="7A0B4F9B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7522C842" w14:textId="77777777" w:rsidTr="006E44F0">
        <w:trPr>
          <w:trHeight w:val="20"/>
        </w:trPr>
        <w:tc>
          <w:tcPr>
            <w:tcW w:w="20" w:type="dxa"/>
          </w:tcPr>
          <w:p w14:paraId="2F72453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DD55C91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D4CF28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5C0011CF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09B80EF7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32D72E41" w14:textId="77777777" w:rsidTr="006E44F0">
        <w:tc>
          <w:tcPr>
            <w:tcW w:w="20" w:type="dxa"/>
          </w:tcPr>
          <w:p w14:paraId="5269847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152EF84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0B7FB4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24. Dalyvauja rengiant ir įgyvendinant Švietimo skyriaus veiklos planus ir programas ir organizuoja miesto strateginių dokumentų planuose patvirtintų ir priskirtų švietimo srities priemonių įgyvendinimą, vykdo jų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stebėseną.</w:t>
                  </w:r>
                </w:p>
              </w:tc>
            </w:tr>
            <w:tr w:rsidR="004B2CB5" w:rsidRPr="006E44F0" w14:paraId="21EF9B4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F6A39D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25. Konsultuoja savivaldybės pavaldumo švietimo įstaigų vadovus, pedagogus ir bendruomenes personalo valdymo, mokinių pasiekimų patikrinimų, mokinių pasiekimų ir pažangos gerinimo, švietimo įstaigų formavimo ir priėmimo mokytis/ugdytis, mokinių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 lankomumo  ir kitais įstaigos veiklos klausimais.</w:t>
                  </w:r>
                </w:p>
              </w:tc>
            </w:tr>
            <w:tr w:rsidR="004B2CB5" w:rsidRPr="006E44F0" w14:paraId="7093C8D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23983B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26. Dalyvauja komisijų ir darbo grupių, kurių nariu išrinktas, darbe, o esant reikalui ir joms vadovauja, kad būtų įgyvendinti šioms grupėms ar komisijoms suformuluoti uždaviniai.</w:t>
                  </w:r>
                </w:p>
              </w:tc>
            </w:tr>
            <w:tr w:rsidR="004B2CB5" w:rsidRPr="006E44F0" w14:paraId="515056A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8C4C19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27. Koordinuoja brandos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 egzaminų organizavimą ir vykdymą, išduoda brandos egzaminų medžiagą paskirtų brandos egzaminų centrų vyresniesiems vykdytojams arba švietimo įstaigų vadovams.</w:t>
                  </w:r>
                </w:p>
              </w:tc>
            </w:tr>
            <w:tr w:rsidR="004B2CB5" w:rsidRPr="006E44F0" w14:paraId="54BD58D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18994A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28. Dalyvauja įgyvendinant švietimo įstaigose kokybės vadybos modelį, koordinuoja miesto lygmen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iu švietimo kokybės gerinimo procesus.</w:t>
                  </w:r>
                </w:p>
              </w:tc>
            </w:tr>
            <w:tr w:rsidR="004B2CB5" w:rsidRPr="006E44F0" w14:paraId="25A15B9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060957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29. Pradeda administracinę teiseną, atlieka administracinių nusižengimų ar įstatymų pažeidimų tyrimus, surašo administracinių nusižengimų ar įstatymų pažeidimų protokolus, nagrinėja administracinių nusižengimų bylas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ar įstatymų pažeidimus, pavestus skyriui Administracijos direktoriaus įsakymu ar mero potvarkiu.</w:t>
                  </w:r>
                </w:p>
              </w:tc>
            </w:tr>
          </w:tbl>
          <w:p w14:paraId="3A44B6E8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3B1C1475" w14:textId="77777777" w:rsidTr="006E44F0">
        <w:trPr>
          <w:trHeight w:val="20"/>
        </w:trPr>
        <w:tc>
          <w:tcPr>
            <w:tcW w:w="20" w:type="dxa"/>
          </w:tcPr>
          <w:p w14:paraId="0416349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62EBD7BF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CC0AD41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56C35B8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1F9BE7E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6E7485C6" w14:textId="77777777" w:rsidTr="006E44F0">
        <w:tc>
          <w:tcPr>
            <w:tcW w:w="20" w:type="dxa"/>
          </w:tcPr>
          <w:p w14:paraId="3F49A54B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3245558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71174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30. Vykdo kitus nenuolatinio pobūdžio su struktūrinio padalinio veikla susijusius pavedimus.</w:t>
                  </w:r>
                </w:p>
              </w:tc>
            </w:tr>
          </w:tbl>
          <w:p w14:paraId="28EDD87B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37D437F2" w14:textId="77777777" w:rsidTr="006E44F0">
        <w:trPr>
          <w:trHeight w:val="139"/>
        </w:trPr>
        <w:tc>
          <w:tcPr>
            <w:tcW w:w="20" w:type="dxa"/>
          </w:tcPr>
          <w:p w14:paraId="073CF07A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7E21FF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8F0D737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5A7D315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0FD9F68D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4CE3E884" w14:textId="77777777" w:rsidTr="006E44F0">
        <w:tc>
          <w:tcPr>
            <w:tcW w:w="20" w:type="dxa"/>
          </w:tcPr>
          <w:p w14:paraId="637305A5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EAC76C3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954FF4A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4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2B68F68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29BAA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16AAA42C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4B2CB5" w:rsidRPr="006E44F0" w14:paraId="0BE784D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C6DBB4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 xml:space="preserve">31. </w:t>
                  </w:r>
                  <w:r w:rsidRPr="006E44F0">
                    <w:rPr>
                      <w:color w:val="000000"/>
                      <w:sz w:val="24"/>
                      <w:lang w:val="lt-LT"/>
                    </w:rPr>
                    <w:t>Išsilavinimo ir darbo patirties reikalavimai: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7D47FB58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57DAFE15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B2CB5" w:rsidRPr="006E44F0" w14:paraId="7621358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BE0476E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B2CB5" w:rsidRPr="006E44F0" w14:paraId="57323A9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106652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31.2. studijų kryptis – pedagogika (arba);</w:t>
                              </w:r>
                            </w:p>
                          </w:tc>
                        </w:tr>
                        <w:tr w:rsidR="004B2CB5" w:rsidRPr="006E44F0" w14:paraId="3804E40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CFFAFB7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31.3. studijų</w:t>
                              </w: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kryptis – edukologija (arba);</w:t>
                              </w:r>
                            </w:p>
                          </w:tc>
                        </w:tr>
                        <w:tr w:rsidR="004B2CB5" w:rsidRPr="006E44F0" w14:paraId="3D97DE9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EACFDF8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31.4. studijų kryptis – </w:t>
                              </w:r>
                              <w:proofErr w:type="spellStart"/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andragogika</w:t>
                              </w:r>
                              <w:proofErr w:type="spellEnd"/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4B2CB5" w:rsidRPr="006E44F0" w14:paraId="06D2066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445733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31.5. darbo patirtis – pedagoginio darbo patirtis;</w:t>
                              </w:r>
                            </w:p>
                          </w:tc>
                        </w:tr>
                        <w:tr w:rsidR="004B2CB5" w:rsidRPr="006E44F0" w14:paraId="1510375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24CBD8A" w14:textId="77777777" w:rsidR="004B2CB5" w:rsidRPr="006E44F0" w:rsidRDefault="002F6DC4" w:rsidP="006E44F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6E44F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31.6. darbo patirties trukmė – ne mažiau kaip 3 metai. </w:t>
                              </w:r>
                            </w:p>
                          </w:tc>
                        </w:tr>
                      </w:tbl>
                      <w:p w14:paraId="2A27E723" w14:textId="77777777" w:rsidR="004B2CB5" w:rsidRPr="006E44F0" w:rsidRDefault="004B2CB5" w:rsidP="006E44F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075259B4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1D72ED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825E92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32. Užsienio kalbos mokėjimo reikalavimai: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7C4920D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093B5FB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D18532A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 xml:space="preserve">32.1. kalba – anglų </w:t>
                        </w: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arba prancūzų arba vokiečių arba rusų;</w:t>
                        </w:r>
                      </w:p>
                    </w:tc>
                  </w:tr>
                </w:tbl>
                <w:p w14:paraId="45D44ADF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093842F1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3597E8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7E5537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32.2. kalbos mokėjimo lygis – A2.</w:t>
                        </w:r>
                      </w:p>
                    </w:tc>
                  </w:tr>
                </w:tbl>
                <w:p w14:paraId="1FCFFD61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73902E6D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  <w:bookmarkStart w:id="0" w:name="_GoBack"/>
            <w:bookmarkEnd w:id="0"/>
          </w:p>
        </w:tc>
      </w:tr>
      <w:tr w:rsidR="004B2CB5" w:rsidRPr="006E44F0" w14:paraId="7D78F3E4" w14:textId="77777777" w:rsidTr="006E44F0">
        <w:trPr>
          <w:trHeight w:val="62"/>
        </w:trPr>
        <w:tc>
          <w:tcPr>
            <w:tcW w:w="20" w:type="dxa"/>
          </w:tcPr>
          <w:p w14:paraId="5E5BF03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081C174D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8B68ED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4E935601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0557342A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6E44F0" w:rsidRPr="006E44F0" w14:paraId="1BBFB89D" w14:textId="77777777" w:rsidTr="006E44F0">
        <w:tc>
          <w:tcPr>
            <w:tcW w:w="20" w:type="dxa"/>
          </w:tcPr>
          <w:p w14:paraId="24315A5B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464178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EE72793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4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B2CB5" w:rsidRPr="006E44F0" w14:paraId="60B6A75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E61F92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B5616D4" w14:textId="77777777" w:rsidR="004B2CB5" w:rsidRPr="006E44F0" w:rsidRDefault="002F6DC4" w:rsidP="006E44F0">
                  <w:pPr>
                    <w:jc w:val="center"/>
                    <w:rPr>
                      <w:lang w:val="lt-LT"/>
                    </w:rPr>
                  </w:pPr>
                  <w:r w:rsidRPr="006E44F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4B2CB5" w:rsidRPr="006E44F0" w14:paraId="33ED2C6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3EBD33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34. Bendrosios kompetencijos ir jų pakankami lygiai: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6680BC13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42A8925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CCAA28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34.1. komunikacija – 4;</w:t>
                        </w:r>
                      </w:p>
                    </w:tc>
                  </w:tr>
                  <w:tr w:rsidR="004B2CB5" w:rsidRPr="006E44F0" w14:paraId="16A0A22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8036E05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34.2. analizė ir pagrindimas – 3;</w:t>
                        </w:r>
                      </w:p>
                    </w:tc>
                  </w:tr>
                  <w:tr w:rsidR="004B2CB5" w:rsidRPr="006E44F0" w14:paraId="003C8AC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79F1C3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34.3. patikimumas ir atsakingumas – 3;</w:t>
                        </w:r>
                      </w:p>
                    </w:tc>
                  </w:tr>
                  <w:tr w:rsidR="004B2CB5" w:rsidRPr="006E44F0" w14:paraId="2165FB0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A4ABF7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34.4. organizuotumas – 3;</w:t>
                        </w:r>
                      </w:p>
                    </w:tc>
                  </w:tr>
                  <w:tr w:rsidR="004B2CB5" w:rsidRPr="006E44F0" w14:paraId="1BAEDCF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5AEFD0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34.5. vertės visuomenei kūrimas – 3.</w:t>
                        </w:r>
                      </w:p>
                    </w:tc>
                  </w:tr>
                </w:tbl>
                <w:p w14:paraId="1E601134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0FD7BD4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BC09FA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35. Specifinės kompetencijos ir jų pakankami lygiai:</w:t>
                  </w:r>
                  <w:r w:rsidRPr="006E44F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B2CB5" w:rsidRPr="006E44F0" w14:paraId="219E56C3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B2CB5" w:rsidRPr="006E44F0" w14:paraId="452EA3B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85E1A7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35.1. konfliktų valdymas – 3;</w:t>
                        </w:r>
                      </w:p>
                    </w:tc>
                  </w:tr>
                  <w:tr w:rsidR="004B2CB5" w:rsidRPr="006E44F0" w14:paraId="608986D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94BEB2B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35.2. informacijos valdymas – 3;</w:t>
                        </w:r>
                      </w:p>
                    </w:tc>
                  </w:tr>
                  <w:tr w:rsidR="004B2CB5" w:rsidRPr="006E44F0" w14:paraId="2428077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707DFF9" w14:textId="77777777" w:rsidR="004B2CB5" w:rsidRPr="006E44F0" w:rsidRDefault="002F6DC4" w:rsidP="006E44F0">
                        <w:pPr>
                          <w:jc w:val="both"/>
                          <w:rPr>
                            <w:lang w:val="lt-LT"/>
                          </w:rPr>
                        </w:pPr>
                        <w:r w:rsidRPr="006E44F0">
                          <w:rPr>
                            <w:color w:val="000000"/>
                            <w:sz w:val="24"/>
                            <w:lang w:val="lt-LT"/>
                          </w:rPr>
                          <w:t>35.3. įžvalgumas – 3.</w:t>
                        </w:r>
                      </w:p>
                    </w:tc>
                  </w:tr>
                </w:tbl>
                <w:p w14:paraId="2EB2EF98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27347B0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6E44F0" w:rsidRPr="006E44F0" w14:paraId="17714BC1" w14:textId="77777777" w:rsidTr="006E44F0">
        <w:tc>
          <w:tcPr>
            <w:tcW w:w="20" w:type="dxa"/>
          </w:tcPr>
          <w:p w14:paraId="46253AE2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D50D269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0A4C59C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43" w:type="dxa"/>
            <w:gridSpan w:val="2"/>
          </w:tcPr>
          <w:p w14:paraId="48AE96B9" w14:textId="77777777" w:rsidR="006E44F0" w:rsidRDefault="006E44F0"/>
          <w:p w14:paraId="5D5BD772" w14:textId="77777777" w:rsidR="006E44F0" w:rsidRDefault="006E44F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B2CB5" w:rsidRPr="006E44F0" w14:paraId="4C28342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3DC5BF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D7DC38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634D717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D656D8C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8623B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7C7E954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078C39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9B28F2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0AA9138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314B3D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202E9D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6B8F94D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5E06DF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3A45AC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58AC3CF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4E3FF7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F8DFBE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0ECE8D9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AC7BE4" w14:textId="77777777" w:rsidR="004B2CB5" w:rsidRPr="006E44F0" w:rsidRDefault="002F6DC4" w:rsidP="006E44F0">
                  <w:pPr>
                    <w:jc w:val="both"/>
                    <w:rPr>
                      <w:lang w:val="lt-LT"/>
                    </w:rPr>
                  </w:pPr>
                  <w:r w:rsidRPr="006E44F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19CCB2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B2CB5" w:rsidRPr="006E44F0" w14:paraId="7352C78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B049E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8CF9AB" w14:textId="77777777" w:rsidR="004B2CB5" w:rsidRPr="006E44F0" w:rsidRDefault="004B2CB5" w:rsidP="006E44F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49BE2910" w14:textId="77777777" w:rsidR="004B2CB5" w:rsidRPr="006E44F0" w:rsidRDefault="004B2CB5" w:rsidP="006E44F0">
            <w:pPr>
              <w:jc w:val="both"/>
              <w:rPr>
                <w:lang w:val="lt-LT"/>
              </w:rPr>
            </w:pPr>
          </w:p>
        </w:tc>
      </w:tr>
      <w:tr w:rsidR="004B2CB5" w:rsidRPr="006E44F0" w14:paraId="50F2F0BA" w14:textId="77777777" w:rsidTr="006E44F0">
        <w:trPr>
          <w:trHeight w:val="41"/>
        </w:trPr>
        <w:tc>
          <w:tcPr>
            <w:tcW w:w="20" w:type="dxa"/>
          </w:tcPr>
          <w:p w14:paraId="7073DB70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7B65DF6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A3F6D07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737" w:type="dxa"/>
          </w:tcPr>
          <w:p w14:paraId="0E466409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3D78737A" w14:textId="77777777" w:rsidR="004B2CB5" w:rsidRPr="006E44F0" w:rsidRDefault="004B2CB5" w:rsidP="006E44F0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1309EE82" w14:textId="77777777" w:rsidR="00A41C11" w:rsidRPr="006E44F0" w:rsidRDefault="00A41C11" w:rsidP="006E44F0">
      <w:pPr>
        <w:jc w:val="both"/>
        <w:rPr>
          <w:lang w:val="lt-LT"/>
        </w:rPr>
      </w:pPr>
    </w:p>
    <w:sectPr w:rsidR="00A41C11" w:rsidRPr="006E44F0" w:rsidSect="00960F36">
      <w:pgSz w:w="11905" w:h="16837"/>
      <w:pgMar w:top="709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F0"/>
    <w:rsid w:val="002F6DC4"/>
    <w:rsid w:val="00344997"/>
    <w:rsid w:val="004B2CB5"/>
    <w:rsid w:val="006E44F0"/>
    <w:rsid w:val="00960F36"/>
    <w:rsid w:val="00A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A75E2"/>
  <w15:chartTrackingRefBased/>
  <w15:docId w15:val="{1193449C-8FF4-4A57-8410-7E253AD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4416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Miglė Barzelienė</cp:lastModifiedBy>
  <cp:revision>2</cp:revision>
  <dcterms:created xsi:type="dcterms:W3CDTF">2023-12-21T06:39:00Z</dcterms:created>
  <dcterms:modified xsi:type="dcterms:W3CDTF">2023-12-21T06:39:00Z</dcterms:modified>
</cp:coreProperties>
</file>