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595"/>
        <w:gridCol w:w="6"/>
      </w:tblGrid>
      <w:tr w:rsidR="00EC60AF" w14:paraId="15CA5E95" w14:textId="77777777" w:rsidTr="00EC60AF">
        <w:tc>
          <w:tcPr>
            <w:tcW w:w="9639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265"/>
              <w:gridCol w:w="283"/>
            </w:tblGrid>
            <w:tr w:rsidR="00EC60AF" w14:paraId="01AE5A30" w14:textId="77777777" w:rsidTr="00EC60AF">
              <w:trPr>
                <w:gridAfter w:val="1"/>
                <w:wAfter w:w="283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D823FB" w14:textId="77777777" w:rsidR="0017410A" w:rsidRDefault="0017410A"/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E940E7" w14:textId="77777777" w:rsidR="0017410A" w:rsidRDefault="004E4769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EC60AF" w14:paraId="2E3CB4CB" w14:textId="77777777" w:rsidTr="00EC60A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C6848F" w14:textId="77777777" w:rsidR="00EC60AF" w:rsidRDefault="00EC60AF" w:rsidP="00EC60AF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D8205F" w14:textId="759158FE" w:rsidR="00EC60AF" w:rsidRDefault="00EC60AF" w:rsidP="00EC60AF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EC60AF" w14:paraId="166E82B9" w14:textId="77777777" w:rsidTr="00EC60A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F088C4" w14:textId="77777777" w:rsidR="00EC60AF" w:rsidRDefault="00EC60AF" w:rsidP="00EC60AF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BBA9CF" w14:textId="5FC7281C" w:rsidR="00EC60AF" w:rsidRDefault="00EC60AF" w:rsidP="00EC60AF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lapkričio </w:t>
                  </w:r>
                  <w:r w:rsidR="005B1907">
                    <w:rPr>
                      <w:sz w:val="24"/>
                      <w:szCs w:val="24"/>
                      <w:lang w:val="lt-LT"/>
                    </w:rPr>
                    <w:t>20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EC60AF" w14:paraId="39CA24CC" w14:textId="77777777" w:rsidTr="00EC60A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99A0B1" w14:textId="77777777" w:rsidR="00EC60AF" w:rsidRDefault="00EC60AF" w:rsidP="00EC60AF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B66398" w14:textId="109D178D" w:rsidR="00EC60AF" w:rsidRDefault="00EC60AF" w:rsidP="00EC60AF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5B1907">
                    <w:rPr>
                      <w:color w:val="000000"/>
                      <w:sz w:val="24"/>
                      <w:szCs w:val="24"/>
                      <w:lang w:val="lt-LT"/>
                    </w:rPr>
                    <w:t>1262</w:t>
                  </w:r>
                </w:p>
              </w:tc>
            </w:tr>
            <w:tr w:rsidR="00EC60AF" w14:paraId="0294D0EB" w14:textId="77777777" w:rsidTr="00EC60AF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27F0D" w14:textId="77777777" w:rsidR="0017410A" w:rsidRDefault="0017410A"/>
              </w:tc>
            </w:tr>
            <w:tr w:rsidR="00EC60AF" w14:paraId="4887068F" w14:textId="77777777" w:rsidTr="00EC60AF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F70A9" w14:textId="77777777" w:rsidR="0017410A" w:rsidRDefault="004E476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EC60AF" w14:paraId="7D3F76CF" w14:textId="77777777" w:rsidTr="00EC60AF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137B1B" w14:textId="77777777" w:rsidR="0017410A" w:rsidRDefault="004E476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ŠVIETIMO SKYRIAUS</w:t>
                  </w:r>
                </w:p>
              </w:tc>
            </w:tr>
            <w:tr w:rsidR="00EC60AF" w14:paraId="0EE7CF51" w14:textId="77777777" w:rsidTr="00EC60AF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BDE3B4" w14:textId="77777777" w:rsidR="0017410A" w:rsidRDefault="004E476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EC60AF" w14:paraId="5A86F1A5" w14:textId="77777777" w:rsidTr="00EC60AF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091477" w14:textId="77777777" w:rsidR="0017410A" w:rsidRDefault="004E476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5F13E15" w14:textId="77777777" w:rsidR="0017410A" w:rsidRDefault="0017410A"/>
        </w:tc>
        <w:tc>
          <w:tcPr>
            <w:tcW w:w="6" w:type="dxa"/>
          </w:tcPr>
          <w:p w14:paraId="5B097B41" w14:textId="77777777" w:rsidR="0017410A" w:rsidRDefault="0017410A">
            <w:pPr>
              <w:pStyle w:val="EmptyLayoutCell"/>
            </w:pPr>
          </w:p>
        </w:tc>
      </w:tr>
      <w:tr w:rsidR="0017410A" w14:paraId="0032BB2F" w14:textId="77777777" w:rsidTr="00EC60AF">
        <w:trPr>
          <w:trHeight w:val="349"/>
        </w:trPr>
        <w:tc>
          <w:tcPr>
            <w:tcW w:w="20" w:type="dxa"/>
          </w:tcPr>
          <w:p w14:paraId="0F9B382C" w14:textId="77777777" w:rsidR="0017410A" w:rsidRDefault="0017410A">
            <w:pPr>
              <w:pStyle w:val="EmptyLayoutCell"/>
            </w:pPr>
          </w:p>
        </w:tc>
        <w:tc>
          <w:tcPr>
            <w:tcW w:w="12" w:type="dxa"/>
          </w:tcPr>
          <w:p w14:paraId="50C6B2BF" w14:textId="77777777" w:rsidR="0017410A" w:rsidRDefault="0017410A">
            <w:pPr>
              <w:pStyle w:val="EmptyLayoutCell"/>
            </w:pPr>
          </w:p>
        </w:tc>
        <w:tc>
          <w:tcPr>
            <w:tcW w:w="12" w:type="dxa"/>
          </w:tcPr>
          <w:p w14:paraId="71C41D27" w14:textId="77777777" w:rsidR="0017410A" w:rsidRDefault="0017410A">
            <w:pPr>
              <w:pStyle w:val="EmptyLayoutCell"/>
            </w:pPr>
          </w:p>
        </w:tc>
        <w:tc>
          <w:tcPr>
            <w:tcW w:w="9595" w:type="dxa"/>
          </w:tcPr>
          <w:p w14:paraId="0B9F6439" w14:textId="77777777" w:rsidR="0017410A" w:rsidRDefault="0017410A">
            <w:pPr>
              <w:pStyle w:val="EmptyLayoutCell"/>
            </w:pPr>
          </w:p>
        </w:tc>
        <w:tc>
          <w:tcPr>
            <w:tcW w:w="6" w:type="dxa"/>
          </w:tcPr>
          <w:p w14:paraId="7CD48657" w14:textId="77777777" w:rsidR="0017410A" w:rsidRDefault="0017410A">
            <w:pPr>
              <w:pStyle w:val="EmptyLayoutCell"/>
            </w:pPr>
          </w:p>
        </w:tc>
      </w:tr>
      <w:tr w:rsidR="00EC60AF" w:rsidRPr="00EC60AF" w14:paraId="02710CDF" w14:textId="77777777" w:rsidTr="00EC60AF">
        <w:tc>
          <w:tcPr>
            <w:tcW w:w="20" w:type="dxa"/>
          </w:tcPr>
          <w:p w14:paraId="3543AC0D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1"/>
            </w:tblGrid>
            <w:tr w:rsidR="0017410A" w:rsidRPr="00EC60AF" w14:paraId="277E6A79" w14:textId="77777777" w:rsidTr="00EC60AF">
              <w:trPr>
                <w:trHeight w:val="72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C4E7D" w14:textId="77777777" w:rsidR="0017410A" w:rsidRPr="00EC60AF" w:rsidRDefault="004E4769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ECBB227" w14:textId="77777777" w:rsidR="0017410A" w:rsidRPr="00EC60AF" w:rsidRDefault="004E4769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17410A" w:rsidRPr="00EC60AF" w14:paraId="76B40082" w14:textId="77777777" w:rsidTr="00EC60AF">
              <w:trPr>
                <w:trHeight w:val="26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C75FD3" w14:textId="77777777" w:rsidR="0017410A" w:rsidRPr="00EC60AF" w:rsidRDefault="004E4769">
                  <w:pPr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17410A" w:rsidRPr="00EC60AF" w14:paraId="5F40BF8D" w14:textId="77777777" w:rsidTr="00EC60AF">
              <w:trPr>
                <w:trHeight w:val="260"/>
              </w:trPr>
              <w:tc>
                <w:tcPr>
                  <w:tcW w:w="933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479C7" w14:textId="77777777" w:rsidR="0017410A" w:rsidRPr="00EC60AF" w:rsidRDefault="004E4769">
                  <w:pPr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2017297" w14:textId="77777777" w:rsidR="0017410A" w:rsidRPr="00EC60AF" w:rsidRDefault="0017410A">
            <w:pPr>
              <w:rPr>
                <w:lang w:val="lt-LT"/>
              </w:rPr>
            </w:pPr>
          </w:p>
        </w:tc>
      </w:tr>
      <w:tr w:rsidR="0017410A" w:rsidRPr="00EC60AF" w14:paraId="7E758154" w14:textId="77777777" w:rsidTr="00EC60AF">
        <w:trPr>
          <w:trHeight w:val="120"/>
        </w:trPr>
        <w:tc>
          <w:tcPr>
            <w:tcW w:w="20" w:type="dxa"/>
          </w:tcPr>
          <w:p w14:paraId="4607662F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24E7E222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EDB00A6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9595" w:type="dxa"/>
          </w:tcPr>
          <w:p w14:paraId="62B4D963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F04992F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</w:tr>
      <w:tr w:rsidR="00EC60AF" w:rsidRPr="00EC60AF" w14:paraId="7FE0992C" w14:textId="77777777" w:rsidTr="00EC60AF">
        <w:tc>
          <w:tcPr>
            <w:tcW w:w="20" w:type="dxa"/>
          </w:tcPr>
          <w:p w14:paraId="7CEF6ADF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4306900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E3FADB" w14:textId="77777777" w:rsidR="0017410A" w:rsidRPr="00EC60AF" w:rsidRDefault="004E4769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501B5130" w14:textId="77777777" w:rsidR="0017410A" w:rsidRPr="00EC60AF" w:rsidRDefault="004E4769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69DF86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04477" w14:textId="77777777" w:rsidR="0017410A" w:rsidRPr="00EC60AF" w:rsidRDefault="004E4769">
                  <w:pPr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795C089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7C91815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95D6A" w14:textId="77777777" w:rsidR="0017410A" w:rsidRPr="00EC60AF" w:rsidRDefault="004E4769">
                        <w:pPr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 xml:space="preserve">3.1. viešųjų paslaugų </w:t>
                        </w: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teikimo administravimas.</w:t>
                        </w:r>
                      </w:p>
                    </w:tc>
                  </w:tr>
                </w:tbl>
                <w:p w14:paraId="751D1FDB" w14:textId="77777777" w:rsidR="0017410A" w:rsidRPr="00EC60AF" w:rsidRDefault="0017410A">
                  <w:pPr>
                    <w:rPr>
                      <w:lang w:val="lt-LT"/>
                    </w:rPr>
                  </w:pPr>
                </w:p>
              </w:tc>
            </w:tr>
            <w:tr w:rsidR="0017410A" w:rsidRPr="00EC60AF" w14:paraId="1E65AEA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3A389" w14:textId="77777777" w:rsidR="0017410A" w:rsidRPr="00EC60AF" w:rsidRDefault="004E4769">
                  <w:pPr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EC60AF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EC60AF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EC60AF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EC60AF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229E5CE4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4286273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E98453" w14:textId="77777777" w:rsidR="0017410A" w:rsidRPr="00EC60AF" w:rsidRDefault="004E4769">
                        <w:pPr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4.1. stebėsena ir analizė;</w:t>
                        </w:r>
                      </w:p>
                    </w:tc>
                  </w:tr>
                  <w:tr w:rsidR="0017410A" w:rsidRPr="00EC60AF" w14:paraId="6FE4008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9B3243" w14:textId="77777777" w:rsidR="0017410A" w:rsidRPr="00EC60AF" w:rsidRDefault="004E4769">
                        <w:pPr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4.2. priežiūra ir kontrolė.</w:t>
                        </w:r>
                      </w:p>
                    </w:tc>
                  </w:tr>
                </w:tbl>
                <w:p w14:paraId="18F5A3EC" w14:textId="77777777" w:rsidR="0017410A" w:rsidRPr="00EC60AF" w:rsidRDefault="0017410A">
                  <w:pPr>
                    <w:rPr>
                      <w:lang w:val="lt-LT"/>
                    </w:rPr>
                  </w:pPr>
                </w:p>
              </w:tc>
            </w:tr>
          </w:tbl>
          <w:p w14:paraId="305E6D99" w14:textId="77777777" w:rsidR="0017410A" w:rsidRPr="00EC60AF" w:rsidRDefault="0017410A">
            <w:pPr>
              <w:rPr>
                <w:lang w:val="lt-LT"/>
              </w:rPr>
            </w:pPr>
          </w:p>
        </w:tc>
      </w:tr>
      <w:tr w:rsidR="0017410A" w:rsidRPr="00EC60AF" w14:paraId="3A41683E" w14:textId="77777777" w:rsidTr="00EC60AF">
        <w:trPr>
          <w:trHeight w:val="126"/>
        </w:trPr>
        <w:tc>
          <w:tcPr>
            <w:tcW w:w="20" w:type="dxa"/>
          </w:tcPr>
          <w:p w14:paraId="66612026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71B32B0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29745E75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9595" w:type="dxa"/>
          </w:tcPr>
          <w:p w14:paraId="70588425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ED270E3" w14:textId="77777777" w:rsidR="0017410A" w:rsidRPr="00EC60AF" w:rsidRDefault="0017410A">
            <w:pPr>
              <w:pStyle w:val="EmptyLayoutCell"/>
              <w:rPr>
                <w:lang w:val="lt-LT"/>
              </w:rPr>
            </w:pPr>
          </w:p>
        </w:tc>
      </w:tr>
      <w:tr w:rsidR="00EC60AF" w:rsidRPr="00EC60AF" w14:paraId="333AEFC7" w14:textId="77777777" w:rsidTr="00EC60AF">
        <w:tc>
          <w:tcPr>
            <w:tcW w:w="20" w:type="dxa"/>
          </w:tcPr>
          <w:p w14:paraId="7A48D9B4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3"/>
            </w:tblGrid>
            <w:tr w:rsidR="0017410A" w:rsidRPr="00EC60AF" w14:paraId="29B25ECD" w14:textId="77777777">
              <w:trPr>
                <w:gridAfter w:val="1"/>
                <w:wAfter w:w="403" w:type="dxa"/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D4BDA8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77CCC32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7C7E4F99" w14:textId="77777777">
              <w:trPr>
                <w:gridAfter w:val="1"/>
                <w:wAfter w:w="403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EBA0A3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2B5C2A86" w14:textId="77777777" w:rsidTr="00EC60AF">
              <w:trPr>
                <w:trHeight w:val="340"/>
              </w:trPr>
              <w:tc>
                <w:tcPr>
                  <w:tcW w:w="94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3C83552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C09E3D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 xml:space="preserve">5.1. mokinių pasiekimų </w:t>
                        </w: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patikrinimų, brandos egzaminų, tarptautinių ir nacionalinių tyrimų organizavimas.</w:t>
                        </w:r>
                      </w:p>
                    </w:tc>
                  </w:tr>
                </w:tbl>
                <w:p w14:paraId="1566FF48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446E5FA3" w14:textId="77777777" w:rsidTr="00EC60AF">
              <w:trPr>
                <w:trHeight w:val="260"/>
              </w:trPr>
              <w:tc>
                <w:tcPr>
                  <w:tcW w:w="947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D82775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6. Papildomos (-ų) veiklos srities (-</w:t>
                  </w:r>
                  <w:proofErr w:type="spellStart"/>
                  <w:r w:rsidRPr="00EC60AF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EC60AF">
                    <w:rPr>
                      <w:color w:val="000000"/>
                      <w:sz w:val="24"/>
                      <w:lang w:val="lt-LT"/>
                    </w:rPr>
                    <w:t>) specializacija: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74BC779E" w14:textId="77777777" w:rsidTr="00EC60AF">
              <w:trPr>
                <w:trHeight w:val="680"/>
              </w:trPr>
              <w:tc>
                <w:tcPr>
                  <w:tcW w:w="94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17DB2DA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57C987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6.1. švietimo būklės analizavimas ir stebėsenos pagal personalo  ir besimokančiųjų, švietimo aplinkos, švietimo</w:t>
                        </w: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 xml:space="preserve"> rezultatų ir pasekmių rodiklius vykdymas;</w:t>
                        </w:r>
                      </w:p>
                    </w:tc>
                  </w:tr>
                  <w:tr w:rsidR="0017410A" w:rsidRPr="00EC60AF" w14:paraId="4532EC7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73A2A1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6.2. priskirtų švietimo srities procesų ir švietimo įstaigų veiklos  priežiūra.</w:t>
                        </w:r>
                      </w:p>
                    </w:tc>
                  </w:tr>
                </w:tbl>
                <w:p w14:paraId="4DA6028B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D45E287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17410A" w:rsidRPr="00EC60AF" w14:paraId="0DCFF289" w14:textId="77777777" w:rsidTr="00EC60AF">
        <w:trPr>
          <w:trHeight w:val="99"/>
        </w:trPr>
        <w:tc>
          <w:tcPr>
            <w:tcW w:w="20" w:type="dxa"/>
          </w:tcPr>
          <w:p w14:paraId="770D80DA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C152A0C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2FAFC21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61A75BCC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6C798AD5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C60AF" w:rsidRPr="00EC60AF" w14:paraId="7CDC62B6" w14:textId="77777777" w:rsidTr="00EC60AF">
        <w:tc>
          <w:tcPr>
            <w:tcW w:w="20" w:type="dxa"/>
          </w:tcPr>
          <w:p w14:paraId="7D982DA2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21BA513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1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52D21D3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98A23F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F950448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61B89A41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17410A" w:rsidRPr="00EC60AF" w14:paraId="5B4B9980" w14:textId="77777777" w:rsidTr="00EC60AF">
        <w:trPr>
          <w:trHeight w:val="39"/>
        </w:trPr>
        <w:tc>
          <w:tcPr>
            <w:tcW w:w="20" w:type="dxa"/>
          </w:tcPr>
          <w:p w14:paraId="2DC3D289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C709355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5D0FB40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0D4371C9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6F70F3F3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C60AF" w:rsidRPr="00EC60AF" w14:paraId="11794BCE" w14:textId="77777777" w:rsidTr="00EC60AF">
        <w:tc>
          <w:tcPr>
            <w:tcW w:w="20" w:type="dxa"/>
          </w:tcPr>
          <w:p w14:paraId="7E4CB6D0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1C92F42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0E384E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7. Konsultuoja priskirtos srities klausimais.</w:t>
                  </w:r>
                </w:p>
              </w:tc>
            </w:tr>
            <w:tr w:rsidR="0017410A" w:rsidRPr="00EC60AF" w14:paraId="38B9A0F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D8AFB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8. Nagrinėja prašymus ir kitus dokumentus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 sudėtingais klausimais dėl viešųjų paslaugų teikimo administravimo veiklų vykdymo arba prireikus koordinuoja prašymų ir kitų dokumentų sudėtingais klausimais dėl viešųjų paslaugų teikimo administravimo veiklų vykdymo nagrinėjimą, rengia sprendimus ir atsa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kymus arba prireikus koordinuoja sprendimų ir atsakymų rengimą.</w:t>
                  </w:r>
                </w:p>
              </w:tc>
            </w:tr>
            <w:tr w:rsidR="0017410A" w:rsidRPr="00EC60AF" w14:paraId="5828F8F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0FF25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9. Rengia ir teikia informaciją su viešųjų paslaugų teikimo administravimu susijusiais sudėtingais klausimais arba prireikus koordinuoja viešųjų paslaugų teikimo administravimu susijusiais su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dėtingais klausimais rengimą ir teikimą.</w:t>
                  </w:r>
                </w:p>
              </w:tc>
            </w:tr>
            <w:tr w:rsidR="0017410A" w:rsidRPr="00EC60AF" w14:paraId="0EC4D3B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5ADD4" w14:textId="77777777" w:rsidR="0017410A" w:rsidRDefault="004E4769" w:rsidP="00EC60AF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10. Rengia ir teikia pasiūlymus su viešųjų paslaugų teikimo administravimu susijusiais klausimais.</w:t>
                  </w:r>
                </w:p>
                <w:p w14:paraId="36E51E36" w14:textId="77777777" w:rsidR="00EC60AF" w:rsidRPr="00EC60AF" w:rsidRDefault="00EC60AF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40FD6A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FABBA5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lastRenderedPageBreak/>
                    <w:t xml:space="preserve">11. Rengia teisės aktų projektus ir kitus susijusius dokumentus dėl viešųjų paslaugų teikimo administravimo arba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prireikus koordinuoja teisės aktų projektų ir kitų susijusių dokumentų dėl viešųjų paslaugų teikimo administravimo rengimą.</w:t>
                  </w:r>
                </w:p>
              </w:tc>
            </w:tr>
            <w:tr w:rsidR="0017410A" w:rsidRPr="00EC60AF" w14:paraId="376E37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E02EBF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12. Apdoroja su viešųjų paslaugų teikimo administravimu susijusią informaciją arba prireikus koordinuoja su viešųjų paslaugų teikim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o administravimu susijusios informacijos apdorojimą.</w:t>
                  </w:r>
                </w:p>
              </w:tc>
            </w:tr>
            <w:tr w:rsidR="0017410A" w:rsidRPr="00EC60AF" w14:paraId="2DD69AF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5E4700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13. Apdoroja su stebėsena ir (ar) analize susijusią informaciją arba prireikus koordinuoja susijusios informacijos apdorojimą.</w:t>
                  </w:r>
                </w:p>
              </w:tc>
            </w:tr>
            <w:tr w:rsidR="0017410A" w:rsidRPr="00EC60AF" w14:paraId="1E291B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032EDA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14. Atlieka skaičiavimus ir prognozavimą arba prireikus koordinuoja skaiči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avimų ir prognozavimų atlikimą.</w:t>
                  </w:r>
                </w:p>
              </w:tc>
            </w:tr>
            <w:tr w:rsidR="0017410A" w:rsidRPr="00EC60AF" w14:paraId="2C54568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021109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15. Rengia ataskaitas, išvadas ir kitus dokumentus arba prireikus koordinuoja ataskaitų, išvadų ir kitų dokumentų rengimą.</w:t>
                  </w:r>
                </w:p>
              </w:tc>
            </w:tr>
            <w:tr w:rsidR="0017410A" w:rsidRPr="00EC60AF" w14:paraId="0CB7BCD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7F466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16. Rengia ir teikia informaciją su stebėsena ir (ar) analize susijusiais sudėtingais klausimais ar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ba prireikus koordinuoja informacijos su stebėsena ir (ar) analize susijusiais sudėtingais klausimais rengimą ir teikimą.</w:t>
                  </w:r>
                </w:p>
              </w:tc>
            </w:tr>
            <w:tr w:rsidR="0017410A" w:rsidRPr="00EC60AF" w14:paraId="24F65A5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4E230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17. Rengia ir teikia pasiūlymus su stebėsena ir (ar) analize susijusiais klausimais.</w:t>
                  </w:r>
                </w:p>
              </w:tc>
            </w:tr>
            <w:tr w:rsidR="0017410A" w:rsidRPr="00EC60AF" w14:paraId="4255F7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F40AFB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18. Rengia teisės aktų projektus ir kitus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susijusius dokumentus dėl stebėsenos ir (ar) analizės vykdymo arba prireikus koordinuoja teisės aktų projektų ir kitų susijusių dokumentų dėl stebėsenos ir (ar) analizės rengimą.</w:t>
                  </w:r>
                </w:p>
              </w:tc>
            </w:tr>
            <w:tr w:rsidR="0017410A" w:rsidRPr="00EC60AF" w14:paraId="22C840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F4A76F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19. Atlieka suformuotos politikos ir dokumentų nuostatų įgyvendinimo, statis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tinių rodiklių 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17410A" w:rsidRPr="00EC60AF" w14:paraId="65D30C7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07CDC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20. Atlieka priežiūros ir (ar) kontrolės veiklas arba prir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eikus koordinuoja priežiūros ir (ar) kontrolės veiklų atlikimą.</w:t>
                  </w:r>
                </w:p>
              </w:tc>
            </w:tr>
            <w:tr w:rsidR="0017410A" w:rsidRPr="00EC60AF" w14:paraId="16FC13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12317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21. Nagrinėja skundus ir kitus dokumentus sudėtingais klausimais dėl priežiūros ir (ar) kontrolės vykdymo arba prireikus koordinuoja skundų ir dokumentų sudėtingais klausimais dėl priežiūros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ir (ar) kontrolės vykdymo nagrinėjimą, rengia atsakymus arba prireikus koordinuoja atsakymų rengimą.</w:t>
                  </w:r>
                </w:p>
              </w:tc>
            </w:tr>
            <w:tr w:rsidR="0017410A" w:rsidRPr="00EC60AF" w14:paraId="229F4EE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88EAA9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22. Rengia ir teikia informaciją su priežiūra ir (ar) kontrole susijusiais sudėtingais klausimais arba prireikus koordinuoja informacijos su priežiūra ir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(ar) kontrole susijusiais sudėtingais klausimais rengimą ir teikimą.</w:t>
                  </w:r>
                </w:p>
              </w:tc>
            </w:tr>
            <w:tr w:rsidR="0017410A" w:rsidRPr="00EC60AF" w14:paraId="2ACCE6B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A3CBC3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23. Rengia ir teikia pasiūlymus su priežiūra ir (ar) kontrole susijusiais klausimais.</w:t>
                  </w:r>
                </w:p>
              </w:tc>
            </w:tr>
          </w:tbl>
          <w:p w14:paraId="11BC8D8C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17410A" w:rsidRPr="00EC60AF" w14:paraId="2706FDDB" w14:textId="77777777" w:rsidTr="00EC60AF">
        <w:trPr>
          <w:trHeight w:val="20"/>
        </w:trPr>
        <w:tc>
          <w:tcPr>
            <w:tcW w:w="20" w:type="dxa"/>
          </w:tcPr>
          <w:p w14:paraId="755DCDA3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AA6E213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F3BB01E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0FE0581A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2CA091D2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C60AF" w:rsidRPr="00EC60AF" w14:paraId="21C50647" w14:textId="77777777" w:rsidTr="00EC60AF">
        <w:tc>
          <w:tcPr>
            <w:tcW w:w="20" w:type="dxa"/>
          </w:tcPr>
          <w:p w14:paraId="524588DC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2CC3ABC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A032A4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24. Dalyvauja rengiant ir įgyvendinant Švietimo skyriaus veiklos planus ir programas ir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organizuoja miesto strateginių dokumentų planuose patvirtintų ir priskirtų švietimo srities priemonių įgyvendinimą, vykdo jų stebėseną.</w:t>
                  </w:r>
                </w:p>
              </w:tc>
            </w:tr>
            <w:tr w:rsidR="0017410A" w:rsidRPr="00EC60AF" w14:paraId="1CD5F12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A2925D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25. Konsultuoja savivaldybės pavaldumo švietimo įstaigų vadovus, pedagogus ir bendruomenes personalo valdymo, mokinių p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asiekimų patikrinimų, mokinių pasiekimų ir pažangos gerinimo, švietimo įstaigų formavimo ir priėmimo mokytis/ugdytis, mokinių lankomumo  ir kitais įstaigos veiklos klausimais.</w:t>
                  </w:r>
                </w:p>
              </w:tc>
            </w:tr>
            <w:tr w:rsidR="0017410A" w:rsidRPr="00EC60AF" w14:paraId="13B3CE6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90FFD7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26. Dalyvauja komisijų ir darbo grupių, kurių nariu išrinktas, darbe, o esant r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eikalui ir joms vadovauja, kad būtų įgyvendinti šioms grupėms ar komisijoms suformuluoti uždaviniai.</w:t>
                  </w:r>
                </w:p>
              </w:tc>
            </w:tr>
            <w:tr w:rsidR="0017410A" w:rsidRPr="00EC60AF" w14:paraId="2A96EBB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02CD9D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27. Koordinuoja brandos egzaminų organizavimą ir vykdymą, išduoda brandos egzaminų medžiagą paskirtų brandos egzaminų centrų vyresniesiems vykdytojams arb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a švietimo įstaigų vadovams.</w:t>
                  </w:r>
                </w:p>
              </w:tc>
            </w:tr>
            <w:tr w:rsidR="0017410A" w:rsidRPr="00EC60AF" w14:paraId="18B94F9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024623" w14:textId="77777777" w:rsidR="00EC60AF" w:rsidRDefault="004E4769" w:rsidP="00EC60AF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28. Dalyvauja įgyvendinant švietimo įstaigose kokybės vadybos modelį, koordinuoja miesto lygmeniu švietimo kokybės gerinimo procesus.</w:t>
                  </w:r>
                </w:p>
                <w:p w14:paraId="48524598" w14:textId="77777777" w:rsidR="00EC60AF" w:rsidRDefault="00EC60AF" w:rsidP="00EC60AF">
                  <w:pPr>
                    <w:jc w:val="both"/>
                    <w:rPr>
                      <w:color w:val="000000"/>
                      <w:lang w:val="lt-LT"/>
                    </w:rPr>
                  </w:pPr>
                </w:p>
                <w:p w14:paraId="4016CAA4" w14:textId="77777777" w:rsidR="00EC60AF" w:rsidRDefault="00EC60AF" w:rsidP="00EC60AF">
                  <w:pPr>
                    <w:jc w:val="both"/>
                    <w:rPr>
                      <w:color w:val="000000"/>
                      <w:lang w:val="lt-LT"/>
                    </w:rPr>
                  </w:pPr>
                </w:p>
                <w:p w14:paraId="7ADD5957" w14:textId="590AA2A3" w:rsidR="00EC60AF" w:rsidRPr="00EC60AF" w:rsidRDefault="00EC60AF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6FF9D89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F7721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29. Pradeda administracinę teiseną, atlieka administracinių nusižengimų ar įstatymų pažeidimų tyrimus, surašo administracinių nusižengimų ar įstatymų pažeidimų protokolus, nagrinėja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lastRenderedPageBreak/>
                    <w:t>administracinių nusižengimų bylas ar įstatymų pažeidimus, pavestus skyriui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 Administracijos direktoriaus įsakymu ar mero potvarkiu.</w:t>
                  </w:r>
                </w:p>
              </w:tc>
            </w:tr>
          </w:tbl>
          <w:p w14:paraId="5EF7347B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17410A" w:rsidRPr="00EC60AF" w14:paraId="21079BDE" w14:textId="77777777" w:rsidTr="00EC60AF">
        <w:trPr>
          <w:trHeight w:val="20"/>
        </w:trPr>
        <w:tc>
          <w:tcPr>
            <w:tcW w:w="20" w:type="dxa"/>
          </w:tcPr>
          <w:p w14:paraId="1E8E8AE4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D73100A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23B26DA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524E3D28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1E8CF7B5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C60AF" w:rsidRPr="00EC60AF" w14:paraId="7D5B5EE2" w14:textId="77777777" w:rsidTr="00EC60AF">
        <w:tc>
          <w:tcPr>
            <w:tcW w:w="20" w:type="dxa"/>
          </w:tcPr>
          <w:p w14:paraId="3BF36792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39531FA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D9104E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30. Vykdo kitus nenuolatinio pobūdžio su struktūrinio padalinio veikla susijusius pavedimus.</w:t>
                  </w:r>
                </w:p>
              </w:tc>
            </w:tr>
          </w:tbl>
          <w:p w14:paraId="44F24706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17410A" w:rsidRPr="00EC60AF" w14:paraId="73E310E5" w14:textId="77777777" w:rsidTr="00EC60AF">
        <w:trPr>
          <w:trHeight w:val="139"/>
        </w:trPr>
        <w:tc>
          <w:tcPr>
            <w:tcW w:w="20" w:type="dxa"/>
          </w:tcPr>
          <w:p w14:paraId="3553EDC0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6FD4BD15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F66C2C4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344AC806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3E85A75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C60AF" w:rsidRPr="00EC60AF" w14:paraId="7ADD428E" w14:textId="77777777" w:rsidTr="00EC60AF">
        <w:tc>
          <w:tcPr>
            <w:tcW w:w="20" w:type="dxa"/>
          </w:tcPr>
          <w:p w14:paraId="690C0B96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0E257700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E52F7FE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1184FDB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009F91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12F664C8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17410A" w:rsidRPr="00EC60AF" w14:paraId="42EB851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6EE2A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31. Išsilavinimo ir darbo patirties 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>reikalavimai: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6DF91213" w14:textId="77777777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5DF2DCEF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7410A" w:rsidRPr="00EC60AF" w14:paraId="621C2CA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5CC5C6" w14:textId="77777777" w:rsidR="0017410A" w:rsidRPr="00EC60AF" w:rsidRDefault="004E4769" w:rsidP="00EC60A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7410A" w:rsidRPr="00EC60AF" w14:paraId="38FDA6A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E9AF79" w14:textId="77777777" w:rsidR="0017410A" w:rsidRPr="00EC60AF" w:rsidRDefault="004E4769" w:rsidP="00EC60A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31.2. studijų kryptis – pedagogika (arba);</w:t>
                              </w:r>
                            </w:p>
                          </w:tc>
                        </w:tr>
                        <w:tr w:rsidR="0017410A" w:rsidRPr="00EC60AF" w14:paraId="4904B02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EE10BA" w14:textId="77777777" w:rsidR="0017410A" w:rsidRPr="00EC60AF" w:rsidRDefault="004E4769" w:rsidP="00EC60A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31.3. studijų kryptis – edukologija (arba);</w:t>
                              </w:r>
                            </w:p>
                          </w:tc>
                        </w:tr>
                        <w:tr w:rsidR="0017410A" w:rsidRPr="00EC60AF" w14:paraId="4A61CEC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E66FF4" w14:textId="77777777" w:rsidR="0017410A" w:rsidRPr="00EC60AF" w:rsidRDefault="004E4769" w:rsidP="00EC60A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31.4. studijų kryptis – </w:t>
                              </w:r>
                              <w:proofErr w:type="spellStart"/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andragogika</w:t>
                              </w:r>
                              <w:proofErr w:type="spellEnd"/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17410A" w:rsidRPr="00EC60AF" w14:paraId="2CC4AE3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6EB7C" w14:textId="77777777" w:rsidR="0017410A" w:rsidRPr="00EC60AF" w:rsidRDefault="004E4769" w:rsidP="00EC60A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31.5. darbo patirtis – turėti pedagoginio darbo stažą;</w:t>
                              </w:r>
                            </w:p>
                          </w:tc>
                        </w:tr>
                        <w:tr w:rsidR="0017410A" w:rsidRPr="00EC60AF" w14:paraId="1D5ED35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5B65D8" w14:textId="77777777" w:rsidR="0017410A" w:rsidRPr="00EC60AF" w:rsidRDefault="004E4769" w:rsidP="00EC60A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EC60A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31.6. darbo patirties trukmė – 3 metai. </w:t>
                              </w:r>
                            </w:p>
                          </w:tc>
                        </w:tr>
                      </w:tbl>
                      <w:p w14:paraId="59DF1343" w14:textId="77777777" w:rsidR="0017410A" w:rsidRPr="00EC60AF" w:rsidRDefault="0017410A" w:rsidP="00EC60AF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912B6BB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72F313C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7638F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32. Užsienio kalbos mokėjimo reikalavimai: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28CDD1A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35008E3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4AA749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32.1. kalba – anglų arba prancūzų arba vokiečių arba rusų;</w:t>
                        </w:r>
                      </w:p>
                    </w:tc>
                  </w:tr>
                </w:tbl>
                <w:p w14:paraId="715D713B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6EF3148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2A55814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F1D3C1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32.2. kalbos mokėjimo lygis – A2.</w:t>
                        </w:r>
                      </w:p>
                    </w:tc>
                  </w:tr>
                </w:tbl>
                <w:p w14:paraId="2D4C9B6B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416FC286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  <w:bookmarkStart w:id="0" w:name="_GoBack"/>
            <w:bookmarkEnd w:id="0"/>
          </w:p>
        </w:tc>
      </w:tr>
      <w:tr w:rsidR="0017410A" w:rsidRPr="00EC60AF" w14:paraId="08EB0176" w14:textId="77777777" w:rsidTr="00EC60AF">
        <w:trPr>
          <w:trHeight w:val="62"/>
        </w:trPr>
        <w:tc>
          <w:tcPr>
            <w:tcW w:w="20" w:type="dxa"/>
          </w:tcPr>
          <w:p w14:paraId="154F2DB6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99956CB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AA35BA6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57FFC818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0AAC23ED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C60AF" w:rsidRPr="00EC60AF" w14:paraId="7BF057CC" w14:textId="77777777" w:rsidTr="00EC60AF">
        <w:tc>
          <w:tcPr>
            <w:tcW w:w="20" w:type="dxa"/>
          </w:tcPr>
          <w:p w14:paraId="3AA3AE7C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469A1BD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36EAF91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410A" w:rsidRPr="00EC60AF" w14:paraId="2B67EB8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523AB2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65A2A384" w14:textId="77777777" w:rsidR="0017410A" w:rsidRPr="00EC60AF" w:rsidRDefault="004E4769" w:rsidP="00EC60AF">
                  <w:pPr>
                    <w:jc w:val="center"/>
                    <w:rPr>
                      <w:lang w:val="lt-LT"/>
                    </w:rPr>
                  </w:pPr>
                  <w:r w:rsidRPr="00EC60AF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17410A" w:rsidRPr="00EC60AF" w14:paraId="7CA40BE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C35516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34. Bendrosios kompetencijos ir jų pakankami lygiai: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48AB119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58484BD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A6242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34.1. komunikacija – 4;</w:t>
                        </w:r>
                      </w:p>
                    </w:tc>
                  </w:tr>
                  <w:tr w:rsidR="0017410A" w:rsidRPr="00EC60AF" w14:paraId="3D639E7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91D34A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34.2. analizė ir pagrindimas – 3;</w:t>
                        </w:r>
                      </w:p>
                    </w:tc>
                  </w:tr>
                  <w:tr w:rsidR="0017410A" w:rsidRPr="00EC60AF" w14:paraId="24D27C4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C31A3E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34.3. patikimumas ir atsakingumas – 3;</w:t>
                        </w:r>
                      </w:p>
                    </w:tc>
                  </w:tr>
                  <w:tr w:rsidR="0017410A" w:rsidRPr="00EC60AF" w14:paraId="50DA52F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F6EC77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34.4. organizuotumas – 3;</w:t>
                        </w:r>
                      </w:p>
                    </w:tc>
                  </w:tr>
                  <w:tr w:rsidR="0017410A" w:rsidRPr="00EC60AF" w14:paraId="1A3BB73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ACCCDA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34.5. vertės visuomenei kūrimas – 3.</w:t>
                        </w:r>
                      </w:p>
                    </w:tc>
                  </w:tr>
                </w:tbl>
                <w:p w14:paraId="7FF081A8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30694B2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CE24DE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35.</w:t>
                  </w:r>
                  <w:r w:rsidRPr="00EC60AF">
                    <w:rPr>
                      <w:color w:val="000000"/>
                      <w:sz w:val="24"/>
                      <w:lang w:val="lt-LT"/>
                    </w:rPr>
                    <w:t xml:space="preserve"> Specifinės kompetencijos ir jų pakankami lygiai:</w:t>
                  </w:r>
                  <w:r w:rsidRPr="00EC60A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410A" w:rsidRPr="00EC60AF" w14:paraId="22A55086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410A" w:rsidRPr="00EC60AF" w14:paraId="5774900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746C88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35.1. konfliktų valdymas – 3;</w:t>
                        </w:r>
                      </w:p>
                    </w:tc>
                  </w:tr>
                  <w:tr w:rsidR="0017410A" w:rsidRPr="00EC60AF" w14:paraId="445B9A2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C6F2C1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35.2. informacijos valdymas – 3;</w:t>
                        </w:r>
                      </w:p>
                    </w:tc>
                  </w:tr>
                  <w:tr w:rsidR="0017410A" w:rsidRPr="00EC60AF" w14:paraId="63BA79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357AF3" w14:textId="77777777" w:rsidR="0017410A" w:rsidRPr="00EC60AF" w:rsidRDefault="004E4769" w:rsidP="00EC60AF">
                        <w:pPr>
                          <w:jc w:val="both"/>
                          <w:rPr>
                            <w:lang w:val="lt-LT"/>
                          </w:rPr>
                        </w:pPr>
                        <w:r w:rsidRPr="00EC60AF">
                          <w:rPr>
                            <w:color w:val="000000"/>
                            <w:sz w:val="24"/>
                            <w:lang w:val="lt-LT"/>
                          </w:rPr>
                          <w:t>35.3. įžvalgumas – 3.</w:t>
                        </w:r>
                      </w:p>
                    </w:tc>
                  </w:tr>
                </w:tbl>
                <w:p w14:paraId="03CB205D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B0EFC1F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EC60AF" w:rsidRPr="00EC60AF" w14:paraId="4C0AE6D7" w14:textId="77777777" w:rsidTr="00EC60AF">
        <w:tc>
          <w:tcPr>
            <w:tcW w:w="20" w:type="dxa"/>
          </w:tcPr>
          <w:p w14:paraId="608D0467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CEEDC94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290E898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01" w:type="dxa"/>
            <w:gridSpan w:val="2"/>
          </w:tcPr>
          <w:p w14:paraId="36E20EAC" w14:textId="77777777" w:rsidR="00EC60AF" w:rsidRDefault="00EC60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17410A" w:rsidRPr="00EC60AF" w14:paraId="194207D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37C5FD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B372A5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28856BA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2E200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4E441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673BE57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80B26D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49CC9F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3CAB071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F3A81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4681E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26EC61F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3CB091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4E53AA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539B15E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765BCD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CADFA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0C595E7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32C34" w14:textId="77777777" w:rsidR="0017410A" w:rsidRPr="00EC60AF" w:rsidRDefault="004E4769" w:rsidP="00EC60AF">
                  <w:pPr>
                    <w:jc w:val="both"/>
                    <w:rPr>
                      <w:lang w:val="lt-LT"/>
                    </w:rPr>
                  </w:pPr>
                  <w:r w:rsidRPr="00EC60AF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3D46E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410A" w:rsidRPr="00EC60AF" w14:paraId="4E86912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891720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490D0E" w14:textId="77777777" w:rsidR="0017410A" w:rsidRPr="00EC60AF" w:rsidRDefault="0017410A" w:rsidP="00EC60AF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B7C42F1" w14:textId="77777777" w:rsidR="0017410A" w:rsidRPr="00EC60AF" w:rsidRDefault="0017410A" w:rsidP="00EC60AF">
            <w:pPr>
              <w:jc w:val="both"/>
              <w:rPr>
                <w:lang w:val="lt-LT"/>
              </w:rPr>
            </w:pPr>
          </w:p>
        </w:tc>
      </w:tr>
      <w:tr w:rsidR="0017410A" w:rsidRPr="00EC60AF" w14:paraId="145FD9AE" w14:textId="77777777" w:rsidTr="00EC60AF">
        <w:trPr>
          <w:trHeight w:val="41"/>
        </w:trPr>
        <w:tc>
          <w:tcPr>
            <w:tcW w:w="20" w:type="dxa"/>
          </w:tcPr>
          <w:p w14:paraId="5946AF74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07C5DDD2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CDB6B40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18AE454D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70A566A6" w14:textId="77777777" w:rsidR="0017410A" w:rsidRPr="00EC60AF" w:rsidRDefault="0017410A" w:rsidP="00EC60AF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3C2EA6ED" w14:textId="77777777" w:rsidR="00083FF9" w:rsidRDefault="00083FF9" w:rsidP="00EC60AF">
      <w:pPr>
        <w:jc w:val="both"/>
      </w:pPr>
    </w:p>
    <w:sectPr w:rsidR="00083FF9" w:rsidSect="00EC60AF">
      <w:pgSz w:w="11905" w:h="16837"/>
      <w:pgMar w:top="851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F"/>
    <w:rsid w:val="00083FF9"/>
    <w:rsid w:val="0017410A"/>
    <w:rsid w:val="004E4769"/>
    <w:rsid w:val="005B1907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FC5A9"/>
  <w15:chartTrackingRefBased/>
  <w15:docId w15:val="{FC859549-118C-4561-80F4-681E0A04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4335</Words>
  <Characters>2472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Miglė Barzelienė</cp:lastModifiedBy>
  <cp:revision>2</cp:revision>
  <dcterms:created xsi:type="dcterms:W3CDTF">2023-12-21T06:38:00Z</dcterms:created>
  <dcterms:modified xsi:type="dcterms:W3CDTF">2023-12-21T06:38:00Z</dcterms:modified>
</cp:coreProperties>
</file>