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3B36BC" w14:paraId="74357B54" w14:textId="77777777" w:rsidTr="00C63A55">
        <w:tc>
          <w:tcPr>
            <w:tcW w:w="9637" w:type="dxa"/>
          </w:tcPr>
          <w:p w14:paraId="3F3D4207" w14:textId="77777777" w:rsidR="00C63A55" w:rsidRDefault="00C63A55" w:rsidP="00C63A55"/>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3B36BC" w14:paraId="4904780D" w14:textId="77777777">
              <w:trPr>
                <w:trHeight w:val="352"/>
              </w:trPr>
              <w:tc>
                <w:tcPr>
                  <w:tcW w:w="9637" w:type="dxa"/>
                  <w:tcBorders>
                    <w:bottom w:val="single" w:sz="6" w:space="0" w:color="000000"/>
                  </w:tcBorders>
                </w:tcPr>
                <w:p w14:paraId="54E75068" w14:textId="77777777" w:rsidR="003B36BC" w:rsidRDefault="0020275E">
                  <w:pPr>
                    <w:jc w:val="center"/>
                  </w:pPr>
                  <w:r>
                    <w:rPr>
                      <w:b/>
                      <w:color w:val="000000"/>
                      <w:sz w:val="24"/>
                    </w:rPr>
                    <w:t>Miesto ekonominės plėtros programa</w:t>
                  </w:r>
                </w:p>
              </w:tc>
            </w:tr>
          </w:tbl>
          <w:p w14:paraId="4B7E757F"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3B36BC" w14:paraId="1DE94D3B" w14:textId="77777777">
              <w:trPr>
                <w:trHeight w:val="352"/>
              </w:trPr>
              <w:tc>
                <w:tcPr>
                  <w:tcW w:w="9637" w:type="dxa"/>
                </w:tcPr>
                <w:p w14:paraId="4D6E5CC2" w14:textId="77777777" w:rsidR="003B36BC" w:rsidRDefault="0020275E">
                  <w:pPr>
                    <w:jc w:val="center"/>
                  </w:pPr>
                  <w:r>
                    <w:rPr>
                      <w:i/>
                      <w:color w:val="000000"/>
                      <w:sz w:val="24"/>
                    </w:rPr>
                    <w:t>(programos pavadinimas)</w:t>
                  </w:r>
                </w:p>
              </w:tc>
            </w:tr>
          </w:tbl>
          <w:p w14:paraId="1A44803E" w14:textId="77777777" w:rsidR="003B36BC" w:rsidRDefault="003B36BC"/>
          <w:p w14:paraId="50F879A7" w14:textId="77777777" w:rsidR="003B36BC" w:rsidRDefault="003B36BC"/>
          <w:p w14:paraId="675FDF2C"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3B36BC" w14:paraId="282D85D7" w14:textId="77777777">
              <w:trPr>
                <w:trHeight w:val="352"/>
              </w:trPr>
              <w:tc>
                <w:tcPr>
                  <w:tcW w:w="9637" w:type="dxa"/>
                </w:tcPr>
                <w:p w14:paraId="64017D37" w14:textId="77777777" w:rsidR="003B36BC" w:rsidRDefault="0020275E">
                  <w:pPr>
                    <w:jc w:val="center"/>
                  </w:pPr>
                  <w:r>
                    <w:rPr>
                      <w:b/>
                      <w:color w:val="000000"/>
                      <w:sz w:val="24"/>
                    </w:rPr>
                    <w:t xml:space="preserve"> PROGRAMOS APRAŠYMAS</w:t>
                  </w:r>
                </w:p>
              </w:tc>
            </w:tr>
          </w:tbl>
          <w:p w14:paraId="7574614B" w14:textId="77777777" w:rsidR="003B36BC" w:rsidRDefault="003B36BC"/>
          <w:p w14:paraId="0CC5726F"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3B36BC" w14:paraId="4D95F226"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0DC3CD4A" w14:textId="77777777" w:rsidR="003B36BC" w:rsidRDefault="0020275E">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2BA755DE" w14:textId="77777777" w:rsidR="003B36BC" w:rsidRDefault="0020275E">
                  <w:r>
                    <w:rPr>
                      <w:b/>
                      <w:color w:val="000000"/>
                      <w:sz w:val="24"/>
                    </w:rPr>
                    <w:t xml:space="preserve"> </w:t>
                  </w:r>
                  <w:r>
                    <w:rPr>
                      <w:color w:val="000000"/>
                      <w:sz w:val="24"/>
                    </w:rPr>
                    <w:t xml:space="preserve">2022 metai </w:t>
                  </w:r>
                </w:p>
              </w:tc>
            </w:tr>
            <w:tr w:rsidR="003B36BC" w14:paraId="2EAC1CF3"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0C77871B" w14:textId="77777777" w:rsidR="003B36BC" w:rsidRDefault="0020275E">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6086CE7B" w14:textId="77777777" w:rsidR="003B36BC" w:rsidRDefault="0020275E">
                  <w:r>
                    <w:rPr>
                      <w:color w:val="000000"/>
                      <w:sz w:val="24"/>
                    </w:rPr>
                    <w:t>Šiaulių m. sav. administracija 188771865</w:t>
                  </w:r>
                </w:p>
              </w:tc>
            </w:tr>
            <w:tr w:rsidR="003B36BC" w14:paraId="6291EFF5"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1BDF6F12" w14:textId="77777777" w:rsidR="003B36BC" w:rsidRDefault="0020275E">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65B4C261" w14:textId="77777777" w:rsidR="003B36BC" w:rsidRDefault="0020275E">
                  <w:r>
                    <w:rPr>
                      <w:color w:val="000000"/>
                      <w:sz w:val="24"/>
                    </w:rPr>
                    <w:t>Ekonomikos ir investicijų skyrius</w:t>
                  </w:r>
                </w:p>
              </w:tc>
            </w:tr>
          </w:tbl>
          <w:p w14:paraId="4DCF2206"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3B36BC" w14:paraId="148EB4AC"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1E592017" w14:textId="77777777" w:rsidR="003B36BC" w:rsidRDefault="0020275E">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5C30D903" w14:textId="77777777" w:rsidR="003B36BC" w:rsidRDefault="0020275E">
                  <w:r>
                    <w:rPr>
                      <w:color w:val="000000"/>
                      <w:sz w:val="24"/>
                    </w:rPr>
                    <w:t>Miesto ekonominės plėtros programa</w:t>
                  </w:r>
                </w:p>
              </w:tc>
              <w:tc>
                <w:tcPr>
                  <w:tcW w:w="1117" w:type="dxa"/>
                  <w:tcBorders>
                    <w:top w:val="single" w:sz="2" w:space="0" w:color="000000"/>
                    <w:left w:val="single" w:sz="2" w:space="0" w:color="000000"/>
                    <w:bottom w:val="single" w:sz="2" w:space="0" w:color="000000"/>
                    <w:right w:val="single" w:sz="2" w:space="0" w:color="000000"/>
                  </w:tcBorders>
                </w:tcPr>
                <w:p w14:paraId="59022CF1" w14:textId="77777777" w:rsidR="003B36BC" w:rsidRDefault="0020275E">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4383061F" w14:textId="77777777" w:rsidR="003B36BC" w:rsidRDefault="0020275E">
                  <w:pPr>
                    <w:jc w:val="center"/>
                  </w:pPr>
                  <w:r>
                    <w:rPr>
                      <w:color w:val="000000"/>
                      <w:sz w:val="24"/>
                    </w:rPr>
                    <w:t>05.</w:t>
                  </w:r>
                </w:p>
              </w:tc>
            </w:tr>
          </w:tbl>
          <w:p w14:paraId="79D46F3E"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3209"/>
              <w:gridCol w:w="4157"/>
              <w:gridCol w:w="1116"/>
              <w:gridCol w:w="1145"/>
            </w:tblGrid>
            <w:tr w:rsidR="003B36BC" w14:paraId="7E98937E" w14:textId="77777777" w:rsidTr="00C63A55">
              <w:trPr>
                <w:trHeight w:val="622"/>
              </w:trPr>
              <w:tc>
                <w:tcPr>
                  <w:tcW w:w="3212" w:type="dxa"/>
                  <w:tcBorders>
                    <w:top w:val="single" w:sz="4" w:space="0" w:color="auto"/>
                    <w:left w:val="single" w:sz="4" w:space="0" w:color="auto"/>
                    <w:bottom w:val="single" w:sz="4" w:space="0" w:color="auto"/>
                    <w:right w:val="single" w:sz="4" w:space="0" w:color="auto"/>
                  </w:tcBorders>
                </w:tcPr>
                <w:p w14:paraId="65BC9196" w14:textId="77777777" w:rsidR="003B36BC" w:rsidRDefault="0020275E">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7215625F" w14:textId="77777777" w:rsidR="00C63A55" w:rsidRDefault="0020275E" w:rsidP="00C63A55">
                  <w:pPr>
                    <w:jc w:val="both"/>
                    <w:rPr>
                      <w:color w:val="000000"/>
                      <w:sz w:val="24"/>
                    </w:rPr>
                  </w:pPr>
                  <w:r>
                    <w:rPr>
                      <w:color w:val="000000"/>
                      <w:sz w:val="24"/>
                    </w:rPr>
                    <w:t>Programa tęstinė ir parengta, siekiant įgyvendinti Šiaulių miesto 2015–2024 m. strateginiame plėtros plane numatytus tikslus ir uždavinius bei įgyvendinama siekiant suformuoti ir išlaikyti palankią aplinką investicijoms Šiaulių mieste:</w:t>
                  </w:r>
                </w:p>
                <w:p w14:paraId="0AEBC723" w14:textId="77777777" w:rsidR="00C63A55" w:rsidRDefault="0020275E" w:rsidP="00C63A55">
                  <w:pPr>
                    <w:jc w:val="both"/>
                    <w:rPr>
                      <w:color w:val="000000"/>
                      <w:sz w:val="24"/>
                    </w:rPr>
                  </w:pPr>
                  <w:r>
                    <w:rPr>
                      <w:color w:val="000000"/>
                      <w:sz w:val="24"/>
                    </w:rPr>
                    <w:t>- skatinti smulkų verslą;</w:t>
                  </w:r>
                </w:p>
                <w:p w14:paraId="58419A7F" w14:textId="77777777" w:rsidR="00C63A55" w:rsidRDefault="0020275E" w:rsidP="00C63A55">
                  <w:pPr>
                    <w:jc w:val="both"/>
                    <w:rPr>
                      <w:color w:val="000000"/>
                      <w:sz w:val="24"/>
                    </w:rPr>
                  </w:pPr>
                  <w:r>
                    <w:rPr>
                      <w:color w:val="000000"/>
                      <w:sz w:val="24"/>
                    </w:rPr>
                    <w:t>-  įgyvendinti jaunimo verslumą skatinančias priemones;</w:t>
                  </w:r>
                </w:p>
                <w:p w14:paraId="6AAF9EDC" w14:textId="77777777" w:rsidR="00C63A55" w:rsidRDefault="0020275E" w:rsidP="00C63A55">
                  <w:pPr>
                    <w:jc w:val="both"/>
                    <w:rPr>
                      <w:color w:val="000000"/>
                      <w:sz w:val="24"/>
                    </w:rPr>
                  </w:pPr>
                  <w:r>
                    <w:rPr>
                      <w:color w:val="000000"/>
                      <w:sz w:val="24"/>
                    </w:rPr>
                    <w:t>-  vykdyti verslo subjektų mokymo programas;</w:t>
                  </w:r>
                </w:p>
                <w:p w14:paraId="30FC7D96" w14:textId="77777777" w:rsidR="00C63A55" w:rsidRDefault="0020275E" w:rsidP="00C63A55">
                  <w:pPr>
                    <w:jc w:val="both"/>
                    <w:rPr>
                      <w:color w:val="000000"/>
                      <w:sz w:val="24"/>
                    </w:rPr>
                  </w:pPr>
                  <w:r>
                    <w:rPr>
                      <w:color w:val="000000"/>
                      <w:sz w:val="24"/>
                    </w:rPr>
                    <w:t>- didinti gyventojų užimtumą;</w:t>
                  </w:r>
                </w:p>
                <w:p w14:paraId="5AAC8EC0" w14:textId="77777777" w:rsidR="00C63A55" w:rsidRDefault="0020275E" w:rsidP="00C63A55">
                  <w:pPr>
                    <w:jc w:val="both"/>
                    <w:rPr>
                      <w:color w:val="000000"/>
                      <w:sz w:val="24"/>
                    </w:rPr>
                  </w:pPr>
                  <w:r>
                    <w:rPr>
                      <w:color w:val="000000"/>
                      <w:sz w:val="24"/>
                    </w:rPr>
                    <w:t>- skatinti miesto ekonominę plėtrą ir investicijų pritraukimą;</w:t>
                  </w:r>
                </w:p>
                <w:p w14:paraId="0E2A0F45" w14:textId="436A28D0" w:rsidR="003B36BC" w:rsidRPr="00C63A55" w:rsidRDefault="0020275E" w:rsidP="00C63A55">
                  <w:pPr>
                    <w:jc w:val="both"/>
                    <w:rPr>
                      <w:color w:val="000000"/>
                      <w:sz w:val="24"/>
                    </w:rPr>
                  </w:pPr>
                  <w:r>
                    <w:rPr>
                      <w:color w:val="000000"/>
                      <w:sz w:val="24"/>
                    </w:rPr>
                    <w:t>- skleisti informaciją apie verslo sąlygas ir galimybes Šiaulių mieste.</w:t>
                  </w:r>
                </w:p>
              </w:tc>
            </w:tr>
            <w:tr w:rsidR="003B36BC" w14:paraId="36B0745E" w14:textId="77777777" w:rsidTr="00C63A55">
              <w:trPr>
                <w:trHeight w:val="235"/>
              </w:trPr>
              <w:tc>
                <w:tcPr>
                  <w:tcW w:w="3212" w:type="dxa"/>
                  <w:tcBorders>
                    <w:top w:val="single" w:sz="4" w:space="0" w:color="auto"/>
                  </w:tcBorders>
                  <w:tcMar>
                    <w:top w:w="0" w:type="dxa"/>
                    <w:left w:w="0" w:type="dxa"/>
                    <w:bottom w:w="0" w:type="dxa"/>
                    <w:right w:w="0" w:type="dxa"/>
                  </w:tcMar>
                </w:tcPr>
                <w:p w14:paraId="02EAD114" w14:textId="77777777" w:rsidR="003B36BC" w:rsidRDefault="003B36BC"/>
              </w:tc>
              <w:tc>
                <w:tcPr>
                  <w:tcW w:w="4161" w:type="dxa"/>
                  <w:tcBorders>
                    <w:top w:val="single" w:sz="4" w:space="0" w:color="auto"/>
                  </w:tcBorders>
                  <w:tcMar>
                    <w:top w:w="0" w:type="dxa"/>
                    <w:left w:w="0" w:type="dxa"/>
                    <w:bottom w:w="0" w:type="dxa"/>
                    <w:right w:w="0" w:type="dxa"/>
                  </w:tcMar>
                </w:tcPr>
                <w:p w14:paraId="05639EEC" w14:textId="77777777" w:rsidR="003B36BC" w:rsidRDefault="003B36BC"/>
              </w:tc>
              <w:tc>
                <w:tcPr>
                  <w:tcW w:w="1117" w:type="dxa"/>
                  <w:tcBorders>
                    <w:top w:val="single" w:sz="4" w:space="0" w:color="auto"/>
                  </w:tcBorders>
                  <w:tcMar>
                    <w:top w:w="0" w:type="dxa"/>
                    <w:left w:w="0" w:type="dxa"/>
                    <w:bottom w:w="0" w:type="dxa"/>
                    <w:right w:w="0" w:type="dxa"/>
                  </w:tcMar>
                </w:tcPr>
                <w:p w14:paraId="59D46F1E" w14:textId="77777777" w:rsidR="003B36BC" w:rsidRDefault="003B36BC"/>
              </w:tc>
              <w:tc>
                <w:tcPr>
                  <w:tcW w:w="1146" w:type="dxa"/>
                  <w:tcBorders>
                    <w:top w:val="single" w:sz="4" w:space="0" w:color="auto"/>
                  </w:tcBorders>
                  <w:tcMar>
                    <w:top w:w="0" w:type="dxa"/>
                    <w:left w:w="0" w:type="dxa"/>
                    <w:bottom w:w="0" w:type="dxa"/>
                    <w:right w:w="0" w:type="dxa"/>
                  </w:tcMar>
                </w:tcPr>
                <w:p w14:paraId="45B7C940" w14:textId="77777777" w:rsidR="003B36BC" w:rsidRDefault="003B36BC"/>
              </w:tc>
            </w:tr>
            <w:tr w:rsidR="003B36BC" w14:paraId="0216FCF1"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2A6D0501" w14:textId="77777777" w:rsidR="003B36BC" w:rsidRDefault="0020275E">
                  <w:r>
                    <w:rPr>
                      <w:b/>
                      <w:color w:val="000000"/>
                      <w:sz w:val="24"/>
                    </w:rPr>
                    <w:t>Ilgalaikis prioritetas</w:t>
                  </w:r>
                </w:p>
                <w:p w14:paraId="3365BC73" w14:textId="77777777" w:rsidR="003B36BC" w:rsidRDefault="0020275E">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60FB4D62" w14:textId="77777777" w:rsidR="003B36BC" w:rsidRDefault="0020275E" w:rsidP="00C63A55">
                  <w:pPr>
                    <w:jc w:val="both"/>
                  </w:pPr>
                  <w:r>
                    <w:rPr>
                      <w:color w:val="000000"/>
                      <w:sz w:val="24"/>
                    </w:rPr>
                    <w:t>Veržlus – konkurencinga verslo aplinka</w:t>
                  </w:r>
                </w:p>
              </w:tc>
              <w:tc>
                <w:tcPr>
                  <w:tcW w:w="1117" w:type="dxa"/>
                  <w:tcBorders>
                    <w:top w:val="single" w:sz="2" w:space="0" w:color="000000"/>
                    <w:left w:val="single" w:sz="2" w:space="0" w:color="000000"/>
                    <w:bottom w:val="single" w:sz="2" w:space="0" w:color="000000"/>
                    <w:right w:val="single" w:sz="2" w:space="0" w:color="000000"/>
                  </w:tcBorders>
                </w:tcPr>
                <w:p w14:paraId="23D49EFE" w14:textId="77777777" w:rsidR="003B36BC" w:rsidRDefault="0020275E">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EE42973" w14:textId="77777777" w:rsidR="003B36BC" w:rsidRDefault="0020275E">
                  <w:pPr>
                    <w:jc w:val="center"/>
                  </w:pPr>
                  <w:r>
                    <w:rPr>
                      <w:color w:val="000000"/>
                      <w:sz w:val="24"/>
                    </w:rPr>
                    <w:t>2</w:t>
                  </w:r>
                </w:p>
              </w:tc>
            </w:tr>
            <w:tr w:rsidR="003B36BC" w14:paraId="24E517D0"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46F26D10" w14:textId="77777777" w:rsidR="003B36BC" w:rsidRDefault="0020275E">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5D4ECB8A" w14:textId="77777777" w:rsidR="003B36BC" w:rsidRDefault="0020275E" w:rsidP="00C63A55">
                  <w:pPr>
                    <w:jc w:val="both"/>
                  </w:pPr>
                  <w:r>
                    <w:rPr>
                      <w:color w:val="000000"/>
                      <w:sz w:val="24"/>
                    </w:rPr>
                    <w:t>Efektyviai panaudojant žmogiškuosius ir finansinius resursus formuoti palankią aplinką investicijų pritraukimui</w:t>
                  </w:r>
                </w:p>
              </w:tc>
              <w:tc>
                <w:tcPr>
                  <w:tcW w:w="1117" w:type="dxa"/>
                  <w:tcBorders>
                    <w:top w:val="single" w:sz="2" w:space="0" w:color="000000"/>
                    <w:left w:val="single" w:sz="2" w:space="0" w:color="000000"/>
                    <w:bottom w:val="single" w:sz="2" w:space="0" w:color="000000"/>
                    <w:right w:val="single" w:sz="2" w:space="0" w:color="000000"/>
                  </w:tcBorders>
                </w:tcPr>
                <w:p w14:paraId="32E35DFA" w14:textId="77777777" w:rsidR="003B36BC" w:rsidRDefault="0020275E">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5799086D" w14:textId="77777777" w:rsidR="003B36BC" w:rsidRDefault="0020275E">
                  <w:pPr>
                    <w:jc w:val="center"/>
                  </w:pPr>
                  <w:r>
                    <w:rPr>
                      <w:color w:val="000000"/>
                      <w:sz w:val="24"/>
                    </w:rPr>
                    <w:t>05-2</w:t>
                  </w:r>
                </w:p>
              </w:tc>
            </w:tr>
          </w:tbl>
          <w:p w14:paraId="03CF54B7" w14:textId="77777777" w:rsidR="003B36BC" w:rsidRDefault="003B36BC"/>
          <w:p w14:paraId="43F1B544" w14:textId="77777777" w:rsidR="003B36BC" w:rsidRDefault="003B36BC"/>
          <w:tbl>
            <w:tblPr>
              <w:tblW w:w="5000" w:type="pct"/>
              <w:tblCellMar>
                <w:left w:w="0" w:type="dxa"/>
                <w:right w:w="0" w:type="dxa"/>
              </w:tblCellMar>
              <w:tblLook w:val="04A0" w:firstRow="1" w:lastRow="0" w:firstColumn="1" w:lastColumn="0" w:noHBand="0" w:noVBand="1"/>
            </w:tblPr>
            <w:tblGrid>
              <w:gridCol w:w="9621"/>
            </w:tblGrid>
            <w:tr w:rsidR="003B36BC" w14:paraId="1303F8B1" w14:textId="77777777" w:rsidTr="00EF1C03">
              <w:trPr>
                <w:trHeight w:val="1120"/>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3B36BC" w14:paraId="3259F4CE"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3B36BC" w14:paraId="1DA57EDA" w14:textId="77777777">
                          <w:trPr>
                            <w:trHeight w:val="577"/>
                          </w:trPr>
                          <w:tc>
                            <w:tcPr>
                              <w:tcW w:w="1685" w:type="dxa"/>
                              <w:tcBorders>
                                <w:bottom w:val="single" w:sz="2" w:space="0" w:color="000000"/>
                                <w:right w:val="single" w:sz="2" w:space="0" w:color="000000"/>
                              </w:tcBorders>
                            </w:tcPr>
                            <w:p w14:paraId="2AC3C1CE" w14:textId="77777777" w:rsidR="003B36BC" w:rsidRDefault="0020275E" w:rsidP="00C63A55">
                              <w:pPr>
                                <w:jc w:val="both"/>
                              </w:pPr>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32EEB5FB" w14:textId="77777777" w:rsidR="003B36BC" w:rsidRDefault="0020275E" w:rsidP="00C63A55">
                              <w:pPr>
                                <w:jc w:val="both"/>
                              </w:pPr>
                              <w:r>
                                <w:rPr>
                                  <w:color w:val="000000"/>
                                  <w:sz w:val="24"/>
                                </w:rPr>
                                <w:t>Skatinti miesto ekonominę plėtrą sudarant palankias sąlygas verslo vystymuisi</w:t>
                              </w:r>
                            </w:p>
                          </w:tc>
                          <w:tc>
                            <w:tcPr>
                              <w:tcW w:w="1146" w:type="dxa"/>
                              <w:tcBorders>
                                <w:left w:val="single" w:sz="2" w:space="0" w:color="000000"/>
                                <w:bottom w:val="single" w:sz="2" w:space="0" w:color="000000"/>
                                <w:right w:val="single" w:sz="2" w:space="0" w:color="000000"/>
                              </w:tcBorders>
                            </w:tcPr>
                            <w:p w14:paraId="0AC8363A" w14:textId="77777777" w:rsidR="003B36BC" w:rsidRDefault="0020275E" w:rsidP="00B24570">
                              <w:pPr>
                                <w:jc w:val="center"/>
                              </w:pPr>
                              <w:r>
                                <w:rPr>
                                  <w:b/>
                                  <w:color w:val="000000"/>
                                  <w:sz w:val="24"/>
                                </w:rPr>
                                <w:t>Kodas</w:t>
                              </w:r>
                            </w:p>
                            <w:p w14:paraId="3DD512F5" w14:textId="77777777" w:rsidR="003B36BC" w:rsidRDefault="003B36BC" w:rsidP="00C63A55">
                              <w:pPr>
                                <w:jc w:val="both"/>
                              </w:pPr>
                            </w:p>
                          </w:tc>
                          <w:tc>
                            <w:tcPr>
                              <w:tcW w:w="1137" w:type="dxa"/>
                              <w:tcBorders>
                                <w:left w:val="single" w:sz="2" w:space="0" w:color="000000"/>
                                <w:bottom w:val="single" w:sz="2" w:space="0" w:color="000000"/>
                              </w:tcBorders>
                            </w:tcPr>
                            <w:p w14:paraId="32450A36" w14:textId="77777777" w:rsidR="003B36BC" w:rsidRDefault="0020275E" w:rsidP="0020275E">
                              <w:pPr>
                                <w:jc w:val="center"/>
                              </w:pPr>
                              <w:r>
                                <w:rPr>
                                  <w:color w:val="000000"/>
                                  <w:sz w:val="24"/>
                                </w:rPr>
                                <w:t>05.01.</w:t>
                              </w:r>
                            </w:p>
                          </w:tc>
                        </w:tr>
                      </w:tbl>
                      <w:p w14:paraId="710044BD" w14:textId="77777777" w:rsidR="003B36BC" w:rsidRDefault="003B36BC" w:rsidP="00C63A55">
                        <w:pPr>
                          <w:jc w:val="both"/>
                        </w:pPr>
                      </w:p>
                    </w:tc>
                  </w:tr>
                  <w:tr w:rsidR="003B36BC" w14:paraId="3FE4B4AD"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7534297B" w14:textId="77777777">
                          <w:trPr>
                            <w:trHeight w:val="262"/>
                          </w:trPr>
                          <w:tc>
                            <w:tcPr>
                              <w:tcW w:w="9637" w:type="dxa"/>
                            </w:tcPr>
                            <w:p w14:paraId="40115D46" w14:textId="77777777" w:rsidR="003B36BC" w:rsidRDefault="0020275E" w:rsidP="00C63A55">
                              <w:pPr>
                                <w:jc w:val="both"/>
                              </w:pPr>
                              <w:r>
                                <w:rPr>
                                  <w:b/>
                                  <w:color w:val="000000"/>
                                  <w:sz w:val="24"/>
                                </w:rPr>
                                <w:t xml:space="preserve">Tikslo įgyvendinimo aprašymas: </w:t>
                              </w:r>
                            </w:p>
                          </w:tc>
                        </w:tr>
                      </w:tbl>
                      <w:p w14:paraId="6D2858D4" w14:textId="77777777" w:rsidR="003B36BC" w:rsidRDefault="003B36BC" w:rsidP="00C63A55">
                        <w:pPr>
                          <w:jc w:val="both"/>
                        </w:pPr>
                      </w:p>
                    </w:tc>
                  </w:tr>
                  <w:tr w:rsidR="003B36BC" w14:paraId="64E0B98D"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098F2E2E" w14:textId="77777777">
                          <w:trPr>
                            <w:trHeight w:val="262"/>
                          </w:trPr>
                          <w:tc>
                            <w:tcPr>
                              <w:tcW w:w="9637" w:type="dxa"/>
                            </w:tcPr>
                            <w:p w14:paraId="43F42DD5" w14:textId="77777777" w:rsidR="003B36BC" w:rsidRDefault="0020275E" w:rsidP="00C63A55">
                              <w:pPr>
                                <w:jc w:val="both"/>
                              </w:pPr>
                              <w:r>
                                <w:rPr>
                                  <w:color w:val="000000"/>
                                  <w:sz w:val="24"/>
                                </w:rPr>
                                <w:t>Įgyvendinant šį tikslą siekiama skatinti žmonių verslumą ir darbo jėgos konkurencingumą, užtikrinti investicijų projektų dokumentacijos parengimą ir investicijų projektų įgyvendinimą, skatinti investicijų pritraukimą Šiaulių mieste.</w:t>
                              </w:r>
                            </w:p>
                          </w:tc>
                        </w:tr>
                      </w:tbl>
                      <w:p w14:paraId="54EB6078" w14:textId="77777777" w:rsidR="003B36BC" w:rsidRDefault="003B36BC" w:rsidP="00C63A55">
                        <w:pPr>
                          <w:jc w:val="both"/>
                        </w:pPr>
                      </w:p>
                    </w:tc>
                  </w:tr>
                  <w:tr w:rsidR="003B36BC" w14:paraId="37C3CC3D"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3B36BC" w14:paraId="38FEE61D"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3B36BC" w14:paraId="414F3895" w14:textId="77777777">
                                <w:trPr>
                                  <w:trHeight w:val="272"/>
                                </w:trPr>
                                <w:tc>
                                  <w:tcPr>
                                    <w:tcW w:w="3855" w:type="dxa"/>
                                    <w:tcBorders>
                                      <w:top w:val="single" w:sz="6" w:space="0" w:color="000000"/>
                                      <w:bottom w:val="single" w:sz="6" w:space="0" w:color="000000"/>
                                      <w:right w:val="single" w:sz="2" w:space="0" w:color="000000"/>
                                    </w:tcBorders>
                                  </w:tcPr>
                                  <w:p w14:paraId="1C3B4DE3" w14:textId="77777777" w:rsidR="003B36BC" w:rsidRDefault="0020275E" w:rsidP="00C63A55">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2A27B404" w14:textId="77777777" w:rsidR="003B36BC" w:rsidRDefault="0020275E" w:rsidP="00C63A55">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5031B9EB" w14:textId="77777777" w:rsidR="003B36BC" w:rsidRDefault="0020275E" w:rsidP="00B33D3E">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1EB65C9E" w14:textId="77777777" w:rsidR="003B36BC" w:rsidRDefault="0020275E" w:rsidP="00B33D3E">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550BD09F" w14:textId="77777777" w:rsidR="003B36BC" w:rsidRDefault="0020275E" w:rsidP="00B33D3E">
                                    <w:pPr>
                                      <w:jc w:val="center"/>
                                    </w:pPr>
                                    <w:r>
                                      <w:rPr>
                                        <w:color w:val="000000"/>
                                        <w:sz w:val="24"/>
                                      </w:rPr>
                                      <w:t>2024</w:t>
                                    </w:r>
                                  </w:p>
                                </w:tc>
                              </w:tr>
                            </w:tbl>
                            <w:p w14:paraId="173A7749" w14:textId="77777777" w:rsidR="003B36BC" w:rsidRDefault="003B36BC" w:rsidP="00C63A55">
                              <w:pPr>
                                <w:jc w:val="both"/>
                              </w:pPr>
                            </w:p>
                          </w:tc>
                        </w:tr>
                        <w:tr w:rsidR="003B36BC" w14:paraId="6F9D63A3" w14:textId="77777777">
                          <w:trPr>
                            <w:trHeight w:val="140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3B36BC" w14:paraId="0D144DE6" w14:textId="77777777">
                                <w:trPr>
                                  <w:trHeight w:val="272"/>
                                </w:trPr>
                                <w:tc>
                                  <w:tcPr>
                                    <w:tcW w:w="3855" w:type="dxa"/>
                                    <w:tcBorders>
                                      <w:top w:val="single" w:sz="6" w:space="0" w:color="000000"/>
                                      <w:bottom w:val="single" w:sz="2" w:space="0" w:color="000000"/>
                                      <w:right w:val="single" w:sz="2" w:space="0" w:color="000000"/>
                                    </w:tcBorders>
                                  </w:tcPr>
                                  <w:p w14:paraId="25CEC206" w14:textId="77777777" w:rsidR="003B36BC" w:rsidRDefault="0020275E" w:rsidP="00C63A55">
                                    <w:pPr>
                                      <w:jc w:val="both"/>
                                    </w:pPr>
                                    <w:r>
                                      <w:rPr>
                                        <w:color w:val="000000"/>
                                        <w:sz w:val="24"/>
                                      </w:rPr>
                                      <w:t>Užimtų gyventojų skaičiaus augimas</w:t>
                                    </w:r>
                                  </w:p>
                                </w:tc>
                                <w:tc>
                                  <w:tcPr>
                                    <w:tcW w:w="1020" w:type="dxa"/>
                                    <w:tcBorders>
                                      <w:top w:val="single" w:sz="6" w:space="0" w:color="000000"/>
                                      <w:left w:val="single" w:sz="2" w:space="0" w:color="000000"/>
                                      <w:bottom w:val="single" w:sz="2" w:space="0" w:color="000000"/>
                                      <w:right w:val="single" w:sz="2" w:space="0" w:color="000000"/>
                                    </w:tcBorders>
                                  </w:tcPr>
                                  <w:p w14:paraId="07F631B5" w14:textId="77777777" w:rsidR="003B36BC" w:rsidRDefault="0020275E" w:rsidP="00B33D3E">
                                    <w:pPr>
                                      <w:jc w:val="center"/>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0ADD91D9" w14:textId="77777777" w:rsidR="003B36BC" w:rsidRDefault="0020275E" w:rsidP="00B33D3E">
                                    <w:pPr>
                                      <w:jc w:val="center"/>
                                    </w:pPr>
                                    <w:r>
                                      <w:rPr>
                                        <w:color w:val="000000"/>
                                        <w:sz w:val="24"/>
                                      </w:rPr>
                                      <w:t>1,50</w:t>
                                    </w:r>
                                  </w:p>
                                </w:tc>
                                <w:tc>
                                  <w:tcPr>
                                    <w:tcW w:w="1587" w:type="dxa"/>
                                    <w:tcBorders>
                                      <w:top w:val="single" w:sz="6" w:space="0" w:color="000000"/>
                                      <w:left w:val="single" w:sz="2" w:space="0" w:color="000000"/>
                                      <w:bottom w:val="single" w:sz="2" w:space="0" w:color="000000"/>
                                      <w:right w:val="single" w:sz="2" w:space="0" w:color="000000"/>
                                    </w:tcBorders>
                                  </w:tcPr>
                                  <w:p w14:paraId="7130E1EF" w14:textId="77777777" w:rsidR="003B36BC" w:rsidRDefault="0020275E" w:rsidP="00B33D3E">
                                    <w:pPr>
                                      <w:jc w:val="center"/>
                                    </w:pPr>
                                    <w:r>
                                      <w:rPr>
                                        <w:color w:val="000000"/>
                                        <w:sz w:val="24"/>
                                      </w:rPr>
                                      <w:t>2,00</w:t>
                                    </w:r>
                                  </w:p>
                                </w:tc>
                                <w:tc>
                                  <w:tcPr>
                                    <w:tcW w:w="1588" w:type="dxa"/>
                                    <w:tcBorders>
                                      <w:top w:val="single" w:sz="6" w:space="0" w:color="000000"/>
                                      <w:left w:val="single" w:sz="2" w:space="0" w:color="000000"/>
                                      <w:bottom w:val="single" w:sz="2" w:space="0" w:color="000000"/>
                                    </w:tcBorders>
                                  </w:tcPr>
                                  <w:p w14:paraId="7B587F30" w14:textId="77777777" w:rsidR="003B36BC" w:rsidRDefault="0020275E" w:rsidP="00B33D3E">
                                    <w:pPr>
                                      <w:jc w:val="center"/>
                                    </w:pPr>
                                    <w:r>
                                      <w:rPr>
                                        <w:color w:val="000000"/>
                                        <w:sz w:val="24"/>
                                      </w:rPr>
                                      <w:t>2,50</w:t>
                                    </w:r>
                                  </w:p>
                                </w:tc>
                              </w:tr>
                              <w:tr w:rsidR="003B36BC" w14:paraId="23E34158" w14:textId="77777777">
                                <w:trPr>
                                  <w:trHeight w:val="272"/>
                                </w:trPr>
                                <w:tc>
                                  <w:tcPr>
                                    <w:tcW w:w="3855" w:type="dxa"/>
                                    <w:tcBorders>
                                      <w:top w:val="single" w:sz="2" w:space="0" w:color="000000"/>
                                      <w:bottom w:val="single" w:sz="2" w:space="0" w:color="000000"/>
                                      <w:right w:val="single" w:sz="2" w:space="0" w:color="000000"/>
                                    </w:tcBorders>
                                  </w:tcPr>
                                  <w:p w14:paraId="5EFD34F6" w14:textId="77777777" w:rsidR="003B36BC" w:rsidRDefault="0020275E" w:rsidP="00C63A55">
                                    <w:pPr>
                                      <w:jc w:val="both"/>
                                    </w:pPr>
                                    <w:r>
                                      <w:rPr>
                                        <w:color w:val="000000"/>
                                        <w:sz w:val="24"/>
                                      </w:rPr>
                                      <w:t>Įsteigtų įmonių</w:t>
                                    </w:r>
                                  </w:p>
                                </w:tc>
                                <w:tc>
                                  <w:tcPr>
                                    <w:tcW w:w="1020" w:type="dxa"/>
                                    <w:tcBorders>
                                      <w:top w:val="single" w:sz="2" w:space="0" w:color="000000"/>
                                      <w:left w:val="single" w:sz="2" w:space="0" w:color="000000"/>
                                      <w:bottom w:val="single" w:sz="2" w:space="0" w:color="000000"/>
                                      <w:right w:val="single" w:sz="2" w:space="0" w:color="000000"/>
                                    </w:tcBorders>
                                  </w:tcPr>
                                  <w:p w14:paraId="32E5BB5A" w14:textId="77777777" w:rsidR="003B36BC" w:rsidRDefault="0020275E" w:rsidP="00B33D3E">
                                    <w:pPr>
                                      <w:jc w:val="center"/>
                                    </w:pPr>
                                    <w:r>
                                      <w:rPr>
                                        <w:color w:val="000000"/>
                                        <w:sz w:val="24"/>
                                      </w:rPr>
                                      <w:t>vnt.</w:t>
                                    </w:r>
                                  </w:p>
                                </w:tc>
                                <w:tc>
                                  <w:tcPr>
                                    <w:tcW w:w="1587" w:type="dxa"/>
                                    <w:tcBorders>
                                      <w:top w:val="single" w:sz="2" w:space="0" w:color="000000"/>
                                      <w:left w:val="single" w:sz="2" w:space="0" w:color="000000"/>
                                      <w:bottom w:val="single" w:sz="2" w:space="0" w:color="000000"/>
                                      <w:right w:val="single" w:sz="2" w:space="0" w:color="000000"/>
                                    </w:tcBorders>
                                  </w:tcPr>
                                  <w:p w14:paraId="32513A72" w14:textId="77777777" w:rsidR="003B36BC" w:rsidRDefault="0020275E" w:rsidP="00B33D3E">
                                    <w:pPr>
                                      <w:jc w:val="center"/>
                                    </w:pPr>
                                    <w:r>
                                      <w:rPr>
                                        <w:color w:val="000000"/>
                                        <w:sz w:val="24"/>
                                      </w:rPr>
                                      <w:t>12,00</w:t>
                                    </w:r>
                                  </w:p>
                                </w:tc>
                                <w:tc>
                                  <w:tcPr>
                                    <w:tcW w:w="1587" w:type="dxa"/>
                                    <w:tcBorders>
                                      <w:top w:val="single" w:sz="2" w:space="0" w:color="000000"/>
                                      <w:left w:val="single" w:sz="2" w:space="0" w:color="000000"/>
                                      <w:bottom w:val="single" w:sz="2" w:space="0" w:color="000000"/>
                                      <w:right w:val="single" w:sz="2" w:space="0" w:color="000000"/>
                                    </w:tcBorders>
                                  </w:tcPr>
                                  <w:p w14:paraId="713BFD94" w14:textId="77777777" w:rsidR="003B36BC" w:rsidRDefault="0020275E" w:rsidP="00B33D3E">
                                    <w:pPr>
                                      <w:jc w:val="center"/>
                                    </w:pPr>
                                    <w:r>
                                      <w:rPr>
                                        <w:color w:val="000000"/>
                                        <w:sz w:val="24"/>
                                      </w:rPr>
                                      <w:t>12,00</w:t>
                                    </w:r>
                                  </w:p>
                                </w:tc>
                                <w:tc>
                                  <w:tcPr>
                                    <w:tcW w:w="1588" w:type="dxa"/>
                                    <w:tcBorders>
                                      <w:top w:val="single" w:sz="2" w:space="0" w:color="000000"/>
                                      <w:left w:val="single" w:sz="2" w:space="0" w:color="000000"/>
                                      <w:bottom w:val="single" w:sz="2" w:space="0" w:color="000000"/>
                                    </w:tcBorders>
                                  </w:tcPr>
                                  <w:p w14:paraId="257C12A0" w14:textId="77777777" w:rsidR="003B36BC" w:rsidRDefault="0020275E" w:rsidP="00B33D3E">
                                    <w:pPr>
                                      <w:jc w:val="center"/>
                                    </w:pPr>
                                    <w:r>
                                      <w:rPr>
                                        <w:color w:val="000000"/>
                                        <w:sz w:val="24"/>
                                      </w:rPr>
                                      <w:t>12,00</w:t>
                                    </w:r>
                                  </w:p>
                                </w:tc>
                              </w:tr>
                              <w:tr w:rsidR="003B36BC" w14:paraId="65BC2A5D" w14:textId="77777777">
                                <w:trPr>
                                  <w:trHeight w:val="272"/>
                                </w:trPr>
                                <w:tc>
                                  <w:tcPr>
                                    <w:tcW w:w="3855" w:type="dxa"/>
                                    <w:tcBorders>
                                      <w:top w:val="single" w:sz="2" w:space="0" w:color="000000"/>
                                      <w:bottom w:val="single" w:sz="2" w:space="0" w:color="000000"/>
                                      <w:right w:val="single" w:sz="2" w:space="0" w:color="000000"/>
                                    </w:tcBorders>
                                  </w:tcPr>
                                  <w:p w14:paraId="604E8FCE" w14:textId="77777777" w:rsidR="003B36BC" w:rsidRDefault="0020275E" w:rsidP="00C63A55">
                                    <w:pPr>
                                      <w:jc w:val="both"/>
                                    </w:pPr>
                                    <w:r>
                                      <w:rPr>
                                        <w:color w:val="000000"/>
                                        <w:sz w:val="24"/>
                                      </w:rPr>
                                      <w:t>Materialinių investicijų augimas</w:t>
                                    </w:r>
                                  </w:p>
                                </w:tc>
                                <w:tc>
                                  <w:tcPr>
                                    <w:tcW w:w="1020" w:type="dxa"/>
                                    <w:tcBorders>
                                      <w:top w:val="single" w:sz="2" w:space="0" w:color="000000"/>
                                      <w:left w:val="single" w:sz="2" w:space="0" w:color="000000"/>
                                      <w:bottom w:val="single" w:sz="2" w:space="0" w:color="000000"/>
                                      <w:right w:val="single" w:sz="2" w:space="0" w:color="000000"/>
                                    </w:tcBorders>
                                  </w:tcPr>
                                  <w:p w14:paraId="40EFAC93" w14:textId="77777777" w:rsidR="003B36BC" w:rsidRDefault="0020275E" w:rsidP="00B33D3E">
                                    <w:pPr>
                                      <w:jc w:val="center"/>
                                    </w:pPr>
                                    <w:r>
                                      <w:rPr>
                                        <w:color w:val="000000"/>
                                        <w:sz w:val="24"/>
                                      </w:rPr>
                                      <w:t>proc.</w:t>
                                    </w:r>
                                  </w:p>
                                </w:tc>
                                <w:tc>
                                  <w:tcPr>
                                    <w:tcW w:w="1587" w:type="dxa"/>
                                    <w:tcBorders>
                                      <w:top w:val="single" w:sz="2" w:space="0" w:color="000000"/>
                                      <w:left w:val="single" w:sz="2" w:space="0" w:color="000000"/>
                                      <w:bottom w:val="single" w:sz="2" w:space="0" w:color="000000"/>
                                      <w:right w:val="single" w:sz="2" w:space="0" w:color="000000"/>
                                    </w:tcBorders>
                                  </w:tcPr>
                                  <w:p w14:paraId="45BC5BF8" w14:textId="77777777" w:rsidR="003B36BC" w:rsidRDefault="0020275E" w:rsidP="00B33D3E">
                                    <w:pPr>
                                      <w:jc w:val="center"/>
                                    </w:pPr>
                                    <w:r>
                                      <w:rPr>
                                        <w:color w:val="000000"/>
                                        <w:sz w:val="24"/>
                                      </w:rPr>
                                      <w:t>4,00</w:t>
                                    </w:r>
                                  </w:p>
                                </w:tc>
                                <w:tc>
                                  <w:tcPr>
                                    <w:tcW w:w="1587" w:type="dxa"/>
                                    <w:tcBorders>
                                      <w:top w:val="single" w:sz="2" w:space="0" w:color="000000"/>
                                      <w:left w:val="single" w:sz="2" w:space="0" w:color="000000"/>
                                      <w:bottom w:val="single" w:sz="2" w:space="0" w:color="000000"/>
                                      <w:right w:val="single" w:sz="2" w:space="0" w:color="000000"/>
                                    </w:tcBorders>
                                  </w:tcPr>
                                  <w:p w14:paraId="66210764" w14:textId="77777777" w:rsidR="003B36BC" w:rsidRDefault="0020275E" w:rsidP="00B33D3E">
                                    <w:pPr>
                                      <w:jc w:val="center"/>
                                    </w:pPr>
                                    <w:r>
                                      <w:rPr>
                                        <w:color w:val="000000"/>
                                        <w:sz w:val="24"/>
                                      </w:rPr>
                                      <w:t>4,20</w:t>
                                    </w:r>
                                  </w:p>
                                </w:tc>
                                <w:tc>
                                  <w:tcPr>
                                    <w:tcW w:w="1588" w:type="dxa"/>
                                    <w:tcBorders>
                                      <w:top w:val="single" w:sz="2" w:space="0" w:color="000000"/>
                                      <w:left w:val="single" w:sz="2" w:space="0" w:color="000000"/>
                                      <w:bottom w:val="single" w:sz="2" w:space="0" w:color="000000"/>
                                    </w:tcBorders>
                                  </w:tcPr>
                                  <w:p w14:paraId="1C25806A" w14:textId="77777777" w:rsidR="003B36BC" w:rsidRDefault="0020275E" w:rsidP="00B33D3E">
                                    <w:pPr>
                                      <w:jc w:val="center"/>
                                    </w:pPr>
                                    <w:r>
                                      <w:rPr>
                                        <w:color w:val="000000"/>
                                        <w:sz w:val="24"/>
                                      </w:rPr>
                                      <w:t>4,50</w:t>
                                    </w:r>
                                  </w:p>
                                </w:tc>
                              </w:tr>
                              <w:tr w:rsidR="003B36BC" w14:paraId="72526811" w14:textId="77777777">
                                <w:trPr>
                                  <w:trHeight w:val="272"/>
                                </w:trPr>
                                <w:tc>
                                  <w:tcPr>
                                    <w:tcW w:w="3855" w:type="dxa"/>
                                    <w:tcBorders>
                                      <w:top w:val="single" w:sz="2" w:space="0" w:color="000000"/>
                                      <w:bottom w:val="single" w:sz="6" w:space="0" w:color="000000"/>
                                      <w:right w:val="single" w:sz="2" w:space="0" w:color="000000"/>
                                    </w:tcBorders>
                                  </w:tcPr>
                                  <w:p w14:paraId="7EB2130A" w14:textId="77777777" w:rsidR="003B36BC" w:rsidRDefault="0020275E" w:rsidP="00C63A55">
                                    <w:pPr>
                                      <w:jc w:val="both"/>
                                    </w:pPr>
                                    <w:r>
                                      <w:rPr>
                                        <w:color w:val="000000"/>
                                        <w:sz w:val="24"/>
                                      </w:rPr>
                                      <w:t xml:space="preserve">Tiesioginių užsienio investicijų (TUI) </w:t>
                                    </w:r>
                                    <w:r>
                                      <w:rPr>
                                        <w:color w:val="000000"/>
                                        <w:sz w:val="24"/>
                                      </w:rPr>
                                      <w:lastRenderedPageBreak/>
                                      <w:t>augimas</w:t>
                                    </w:r>
                                  </w:p>
                                </w:tc>
                                <w:tc>
                                  <w:tcPr>
                                    <w:tcW w:w="1020" w:type="dxa"/>
                                    <w:tcBorders>
                                      <w:top w:val="single" w:sz="2" w:space="0" w:color="000000"/>
                                      <w:left w:val="single" w:sz="2" w:space="0" w:color="000000"/>
                                      <w:bottom w:val="single" w:sz="6" w:space="0" w:color="000000"/>
                                      <w:right w:val="single" w:sz="2" w:space="0" w:color="000000"/>
                                    </w:tcBorders>
                                  </w:tcPr>
                                  <w:p w14:paraId="10915DFF" w14:textId="77777777" w:rsidR="003B36BC" w:rsidRDefault="0020275E" w:rsidP="00B33D3E">
                                    <w:pPr>
                                      <w:jc w:val="center"/>
                                    </w:pPr>
                                    <w:r>
                                      <w:rPr>
                                        <w:color w:val="000000"/>
                                        <w:sz w:val="24"/>
                                      </w:rPr>
                                      <w:lastRenderedPageBreak/>
                                      <w:t>proc.</w:t>
                                    </w:r>
                                  </w:p>
                                </w:tc>
                                <w:tc>
                                  <w:tcPr>
                                    <w:tcW w:w="1587" w:type="dxa"/>
                                    <w:tcBorders>
                                      <w:top w:val="single" w:sz="2" w:space="0" w:color="000000"/>
                                      <w:left w:val="single" w:sz="2" w:space="0" w:color="000000"/>
                                      <w:bottom w:val="single" w:sz="6" w:space="0" w:color="000000"/>
                                      <w:right w:val="single" w:sz="2" w:space="0" w:color="000000"/>
                                    </w:tcBorders>
                                  </w:tcPr>
                                  <w:p w14:paraId="33CFC0C0" w14:textId="77777777" w:rsidR="003B36BC" w:rsidRDefault="0020275E" w:rsidP="00B33D3E">
                                    <w:pPr>
                                      <w:jc w:val="center"/>
                                    </w:pPr>
                                    <w:r>
                                      <w:rPr>
                                        <w:color w:val="000000"/>
                                        <w:sz w:val="24"/>
                                      </w:rPr>
                                      <w:t>5,00</w:t>
                                    </w:r>
                                  </w:p>
                                </w:tc>
                                <w:tc>
                                  <w:tcPr>
                                    <w:tcW w:w="1587" w:type="dxa"/>
                                    <w:tcBorders>
                                      <w:top w:val="single" w:sz="2" w:space="0" w:color="000000"/>
                                      <w:left w:val="single" w:sz="2" w:space="0" w:color="000000"/>
                                      <w:bottom w:val="single" w:sz="6" w:space="0" w:color="000000"/>
                                      <w:right w:val="single" w:sz="2" w:space="0" w:color="000000"/>
                                    </w:tcBorders>
                                  </w:tcPr>
                                  <w:p w14:paraId="442259AB" w14:textId="77777777" w:rsidR="003B36BC" w:rsidRDefault="0020275E" w:rsidP="00B33D3E">
                                    <w:pPr>
                                      <w:jc w:val="center"/>
                                    </w:pPr>
                                    <w:r>
                                      <w:rPr>
                                        <w:color w:val="000000"/>
                                        <w:sz w:val="24"/>
                                      </w:rPr>
                                      <w:t>10,00</w:t>
                                    </w:r>
                                  </w:p>
                                </w:tc>
                                <w:tc>
                                  <w:tcPr>
                                    <w:tcW w:w="1588" w:type="dxa"/>
                                    <w:tcBorders>
                                      <w:top w:val="single" w:sz="2" w:space="0" w:color="000000"/>
                                      <w:left w:val="single" w:sz="2" w:space="0" w:color="000000"/>
                                      <w:bottom w:val="single" w:sz="6" w:space="0" w:color="000000"/>
                                    </w:tcBorders>
                                  </w:tcPr>
                                  <w:p w14:paraId="74D6DFBE" w14:textId="77777777" w:rsidR="003B36BC" w:rsidRDefault="0020275E" w:rsidP="00B33D3E">
                                    <w:pPr>
                                      <w:jc w:val="center"/>
                                    </w:pPr>
                                    <w:r>
                                      <w:rPr>
                                        <w:color w:val="000000"/>
                                        <w:sz w:val="24"/>
                                      </w:rPr>
                                      <w:t>15,00</w:t>
                                    </w:r>
                                  </w:p>
                                </w:tc>
                              </w:tr>
                            </w:tbl>
                            <w:p w14:paraId="5E6F51AE" w14:textId="77777777" w:rsidR="003B36BC" w:rsidRDefault="003B36BC" w:rsidP="00C63A55">
                              <w:pPr>
                                <w:jc w:val="both"/>
                              </w:pPr>
                            </w:p>
                          </w:tc>
                        </w:tr>
                      </w:tbl>
                      <w:p w14:paraId="040465D8" w14:textId="77777777" w:rsidR="003B36BC" w:rsidRDefault="003B36BC" w:rsidP="00C63A55">
                        <w:pPr>
                          <w:jc w:val="both"/>
                        </w:pPr>
                      </w:p>
                    </w:tc>
                  </w:tr>
                  <w:tr w:rsidR="003B36BC" w14:paraId="1382F198"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3B36BC" w14:paraId="01E2098B"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3B36BC" w14:paraId="27C105E5" w14:textId="77777777">
                                <w:trPr>
                                  <w:trHeight w:val="340"/>
                                </w:trPr>
                                <w:tc>
                                  <w:tcPr>
                                    <w:tcW w:w="9637" w:type="dxa"/>
                                  </w:tcPr>
                                  <w:p w14:paraId="42E323CE" w14:textId="77777777" w:rsidR="00B33D3E" w:rsidRDefault="00B33D3E"/>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3C1E9153" w14:textId="77777777" w:rsidTr="00B33D3E">
                                      <w:trPr>
                                        <w:trHeight w:val="262"/>
                                      </w:trPr>
                                      <w:tc>
                                        <w:tcPr>
                                          <w:tcW w:w="9606" w:type="dxa"/>
                                        </w:tcPr>
                                        <w:p w14:paraId="6D7EFF8C" w14:textId="77777777" w:rsidR="003B36BC" w:rsidRDefault="0020275E" w:rsidP="00C63A55">
                                          <w:pPr>
                                            <w:jc w:val="both"/>
                                          </w:pPr>
                                          <w:r>
                                            <w:rPr>
                                              <w:b/>
                                              <w:color w:val="000000"/>
                                              <w:sz w:val="24"/>
                                            </w:rPr>
                                            <w:t>05.01.02. Uždavinys. Skatinti ir ugdyti verslumą</w:t>
                                          </w:r>
                                        </w:p>
                                      </w:tc>
                                    </w:tr>
                                  </w:tbl>
                                  <w:p w14:paraId="7BB9F38B" w14:textId="77777777" w:rsidR="003B36BC" w:rsidRDefault="003B36BC" w:rsidP="00C63A55">
                                    <w:pPr>
                                      <w:jc w:val="both"/>
                                    </w:pPr>
                                  </w:p>
                                </w:tc>
                              </w:tr>
                              <w:tr w:rsidR="003B36BC" w14:paraId="562C2088"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6D69153B" w14:textId="77777777">
                                      <w:trPr>
                                        <w:trHeight w:val="362"/>
                                      </w:trPr>
                                      <w:tc>
                                        <w:tcPr>
                                          <w:tcW w:w="9637" w:type="dxa"/>
                                        </w:tcPr>
                                        <w:p w14:paraId="330BF956" w14:textId="4D08430D" w:rsidR="003B36BC" w:rsidRPr="00B33D3E" w:rsidRDefault="0020275E" w:rsidP="00C63A55">
                                          <w:pPr>
                                            <w:jc w:val="both"/>
                                            <w:rPr>
                                              <w:color w:val="000000"/>
                                              <w:sz w:val="24"/>
                                            </w:rPr>
                                          </w:pPr>
                                          <w:r>
                                            <w:rPr>
                                              <w:color w:val="000000"/>
                                              <w:sz w:val="24"/>
                                            </w:rPr>
                                            <w:t>Įgyvendindama šio uždavinio priemonę „Skatinti smulkiojo verslo subjektus“, Savivaldybė teikia paramą smulkiojo verslo subjektams, skirdama didelį dėmesį naujai besikuriančioms įmonėms, vyresnio amžiaus asmenims ir jaunimui, ketinančiam pradėti savo verslą. Prioritetas yra smulkios įmonės, turinčios iki 10 darbuotojų, jaunimas nuo 18 iki 29 m. amžiaus bei asmenys virš 45  metų.</w:t>
                                          </w:r>
                                          <w:r>
                                            <w:rPr>
                                              <w:color w:val="000000"/>
                                              <w:sz w:val="24"/>
                                            </w:rPr>
                                            <w:br/>
                                            <w:t>Įgyvendinant šio uždavinio priemonę „Įgyvendinti verslo subjektų mokymo programas“, verslo subjektams teikiama informacija įmonių steigimo, mokesčių sistemos, informacijos paieškos, finansavimo šaltinių paieškos klausimais; vykdomos konsultacijos, organizuojami mokymai verslo pradžios, mokesčių sistemos ypatumų, verslo plano rengimo, paramos verslui, darbo teisės ir kt. temomis; organizuojami verslo sklaidos renginiai. Teikiant pradedantiesiems verslininkams kompleksinę paramą, siekiama skatinti verslumą ir novatoriškumą, prisidėti prie užimtumo didinimo, naujų įmonių steigimosi ir naujų darbo vietų kūrimo. Pagal priemonę teikiamos paslaugos naudingos tiek verslo pradžiai, tiek tolesniam verslo plėtojimui.</w:t>
                                          </w:r>
                                          <w:r w:rsidR="00B33D3E">
                                            <w:rPr>
                                              <w:color w:val="000000"/>
                                              <w:sz w:val="24"/>
                                            </w:rPr>
                                            <w:t xml:space="preserve"> </w:t>
                                          </w:r>
                                          <w:r>
                                            <w:rPr>
                                              <w:color w:val="000000"/>
                                              <w:sz w:val="24"/>
                                            </w:rPr>
                                            <w:t>Šio uždavinio priemonė „Įgyvendinti jaunimo verslumo skatinimo programą“ skirta jaunimui, moksleiviams, orientuota ir skatinanti pradėti savo verslą. Įgyvendinant priemonę vykdomos tokios veiklos kaip verslumo mokymo ir verslo informacinės sklaidos renginių organizavimas; moksleivių Ekonomikos ir lyderystės mokyklos renginių organizavimas; verslo dienos renginių organizavimas; HUB veikla Šiaulių verslo inkubatoriuje; verslo plano konkurso ir verslo idėjų konkurso organizavimas; pagalba jaunimui užsiimant amatais ir jų pavertimas verslu ir kt.</w:t>
                                          </w:r>
                                        </w:p>
                                      </w:tc>
                                    </w:tr>
                                  </w:tbl>
                                  <w:p w14:paraId="73607317" w14:textId="77777777" w:rsidR="003B36BC" w:rsidRDefault="003B36BC" w:rsidP="00C63A55">
                                    <w:pPr>
                                      <w:jc w:val="both"/>
                                    </w:pPr>
                                  </w:p>
                                </w:tc>
                              </w:tr>
                            </w:tbl>
                            <w:p w14:paraId="75E8DFE3" w14:textId="77777777" w:rsidR="003B36BC" w:rsidRDefault="003B36BC" w:rsidP="00C63A55">
                              <w:pPr>
                                <w:jc w:val="both"/>
                              </w:pPr>
                            </w:p>
                          </w:tc>
                        </w:tr>
                        <w:tr w:rsidR="003B36BC" w14:paraId="51F7D185"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3B36BC" w14:paraId="16F9DED4" w14:textId="77777777">
                                <w:trPr>
                                  <w:trHeight w:val="340"/>
                                </w:trPr>
                                <w:tc>
                                  <w:tcPr>
                                    <w:tcW w:w="9637" w:type="dxa"/>
                                  </w:tcPr>
                                  <w:p w14:paraId="5101183F" w14:textId="77777777" w:rsidR="00B33D3E" w:rsidRDefault="00B33D3E"/>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046B2869" w14:textId="77777777" w:rsidTr="00B33D3E">
                                      <w:trPr>
                                        <w:trHeight w:val="262"/>
                                      </w:trPr>
                                      <w:tc>
                                        <w:tcPr>
                                          <w:tcW w:w="9606" w:type="dxa"/>
                                        </w:tcPr>
                                        <w:p w14:paraId="5794D98F" w14:textId="77777777" w:rsidR="003B36BC" w:rsidRDefault="0020275E" w:rsidP="00C63A55">
                                          <w:pPr>
                                            <w:jc w:val="both"/>
                                          </w:pPr>
                                          <w:r>
                                            <w:rPr>
                                              <w:b/>
                                              <w:color w:val="000000"/>
                                              <w:sz w:val="24"/>
                                            </w:rPr>
                                            <w:t>05.01.05. Uždavinys. Skatinti investicijų pritraukimą</w:t>
                                          </w:r>
                                        </w:p>
                                      </w:tc>
                                    </w:tr>
                                  </w:tbl>
                                  <w:p w14:paraId="1DF9E604" w14:textId="77777777" w:rsidR="003B36BC" w:rsidRDefault="003B36BC" w:rsidP="00C63A55">
                                    <w:pPr>
                                      <w:jc w:val="both"/>
                                    </w:pPr>
                                  </w:p>
                                </w:tc>
                              </w:tr>
                              <w:tr w:rsidR="003B36BC" w14:paraId="66D18C30"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3B36BC" w14:paraId="3A82AA0E" w14:textId="77777777">
                                      <w:trPr>
                                        <w:trHeight w:val="362"/>
                                      </w:trPr>
                                      <w:tc>
                                        <w:tcPr>
                                          <w:tcW w:w="9637" w:type="dxa"/>
                                        </w:tcPr>
                                        <w:p w14:paraId="0AE62769" w14:textId="47DA77E7" w:rsidR="003B36BC" w:rsidRPr="00B33D3E" w:rsidRDefault="0020275E" w:rsidP="00C63A55">
                                          <w:pPr>
                                            <w:jc w:val="both"/>
                                            <w:rPr>
                                              <w:color w:val="000000"/>
                                              <w:sz w:val="24"/>
                                            </w:rPr>
                                          </w:pPr>
                                          <w:r>
                                            <w:rPr>
                                              <w:color w:val="000000"/>
                                              <w:sz w:val="24"/>
                                            </w:rPr>
                                            <w:t>Įgyvendindama šio uždavinio priemonę „Parengti (atnaujinti) investicijų projektus“ vykdomas investicijų projektų, galimybių studijų ir kitų dokumentų, kurie yra reikalingi finansinei paramai gauti, rengimas. Turint reikalingus projektų dokumentus, didėja galimybė sėkmingai pritraukti valstybės bei Europos Sąjungos finansinius išteklius. Priemonės įgyvendinimas apima ir paraiškų, kurios bus teikiamos finansuojančioms institucijoms rengimą. Investicijų projektai taip pat reikalingi siekiant gauti Europos Sąjungos struktūrinių fondų finansinę paramą.</w:t>
                                          </w:r>
                                          <w:r>
                                            <w:rPr>
                                              <w:color w:val="000000"/>
                                              <w:sz w:val="24"/>
                                            </w:rPr>
                                            <w:br/>
                                            <w:t xml:space="preserve">Įgyvendinant šio uždavinio priemonę „Vystyti Šiaulių pramoninio parko (ŠPP) ir Šiaulių laisvosios ekonominės zonos (Šiaulių LEZ) infrastruktūrą“ ir siekiant gerinti investicinę aplinką bei pritraukti investicijas bus tobulinama infrastruktūra, vykdomas medžių pašalinimas iš sklypo, adresu Aerouosto g. 1, Šiauliai. Prie priemonės įgyvendinimo prisidės ir projektas „Investicinės aplinkos gerinimas Šiaulių laisvojoje ekonominėje zonoje ir jos prieigose“, kurio apimtyje numatytas nuotekų tinklų, internetinio kabelio, pėsčiųjų ir dviračių takų įrengimas, privažiavimų prie geležinkelio infrastruktūros ir krovos aikštelių bei konteinerių aikštelių, inžinerinių tinklų įrengimas. </w:t>
                                          </w:r>
                                          <w:r>
                                            <w:rPr>
                                              <w:color w:val="000000"/>
                                              <w:sz w:val="24"/>
                                            </w:rPr>
                                            <w:br/>
                                            <w:t>Įgyvendinant šio uždavinio priemonę „Vystyti Šiaulių oro uosto veiklą“, Savivaldybės įmonė Šiaulių oro uostas teikia aviacijos saugumo užtikrinimo bei antžemines su oro uostų veikla susijusias paslaugas. Užtikrinti civilinės aviacijos saugumą įmonė įpareigota LR Vyriausybės nutarimu, todėl įgyvendinus šią priemonę bus užtikrintas Specialiųjų aviacijos saugumo užtikrinimo įsipareigojimų funkcijų vykdymas, kurias vykdo Šiaulių oro uostas.</w:t>
                                          </w:r>
                                          <w:r w:rsidR="00B33D3E">
                                            <w:rPr>
                                              <w:color w:val="000000"/>
                                              <w:sz w:val="24"/>
                                            </w:rPr>
                                            <w:t xml:space="preserve"> </w:t>
                                          </w:r>
                                          <w:r>
                                            <w:rPr>
                                              <w:color w:val="000000"/>
                                              <w:sz w:val="24"/>
                                            </w:rPr>
                                            <w:t>Įgyvendinant šio uždavinio  priemonę „Viešinti investicinę aplinką“ bus siekiama gerinti investicinę aplinką ir įgyvendinti Ekonominės plėtros ir investicijų pritraukimo ilgalaikės strategijos veiklas, bus dalyvaujama parodose ir renginiuose, kuriamos edukacinės, rinkodaros priemonės, perkami straipsniai vietos ir užsienio spaudoje, sukurtas elektroninis leidinys investuotojams.</w:t>
                                          </w:r>
                                          <w:r w:rsidR="00B33D3E">
                                            <w:rPr>
                                              <w:color w:val="000000"/>
                                              <w:sz w:val="24"/>
                                            </w:rPr>
                                            <w:t xml:space="preserve"> </w:t>
                                          </w:r>
                                          <w:r>
                                            <w:rPr>
                                              <w:color w:val="000000"/>
                                              <w:sz w:val="24"/>
                                            </w:rPr>
                                            <w:t xml:space="preserve">Įgyvendinant šio uždavinio priemonę „Pritraukti aukštos kvalifikacijos specialistus į Šiaulių miestą“, bus įgyvendinama viena iš Ekonominės plėtros ir investicijų pritraukimo ilgalaikės strategijos veiklų, t. y. į Šiaulių miestą pritraukiami reikalingi </w:t>
                                          </w:r>
                                          <w:r>
                                            <w:rPr>
                                              <w:color w:val="000000"/>
                                              <w:sz w:val="24"/>
                                            </w:rPr>
                                            <w:lastRenderedPageBreak/>
                                            <w:t>aukštos kvalifikacijos specialistai. Finansinė parama bus suteikiama aukštos profesinės kvalifikacijos specialistams. Finansine parama specialistai galės pasinaudoti tik įsipareigodami dirbti įmonėje ne trumpiau kaip dvejus metus.</w:t>
                                          </w:r>
                                        </w:p>
                                      </w:tc>
                                    </w:tr>
                                  </w:tbl>
                                  <w:p w14:paraId="41C2BCCB" w14:textId="77777777" w:rsidR="003B36BC" w:rsidRDefault="003B36BC" w:rsidP="00C63A55">
                                    <w:pPr>
                                      <w:jc w:val="both"/>
                                    </w:pPr>
                                  </w:p>
                                </w:tc>
                              </w:tr>
                            </w:tbl>
                            <w:p w14:paraId="0FFC027B" w14:textId="77777777" w:rsidR="003B36BC" w:rsidRDefault="003B36BC" w:rsidP="00C63A55">
                              <w:pPr>
                                <w:jc w:val="both"/>
                              </w:pPr>
                            </w:p>
                          </w:tc>
                        </w:tr>
                      </w:tbl>
                      <w:p w14:paraId="2B2DB4EF" w14:textId="77777777" w:rsidR="003B36BC" w:rsidRDefault="003B36BC" w:rsidP="00C63A55">
                        <w:pPr>
                          <w:jc w:val="both"/>
                        </w:pPr>
                      </w:p>
                    </w:tc>
                  </w:tr>
                  <w:tr w:rsidR="003B36BC" w14:paraId="09AC14C7" w14:textId="77777777">
                    <w:trPr>
                      <w:trHeight w:val="119"/>
                    </w:trPr>
                    <w:tc>
                      <w:tcPr>
                        <w:tcW w:w="9637" w:type="dxa"/>
                      </w:tcPr>
                      <w:p w14:paraId="217B139C" w14:textId="77777777" w:rsidR="003B36BC" w:rsidRDefault="003B36BC" w:rsidP="00C63A55">
                        <w:pPr>
                          <w:jc w:val="both"/>
                        </w:pPr>
                      </w:p>
                    </w:tc>
                  </w:tr>
                </w:tbl>
                <w:p w14:paraId="57B34251" w14:textId="77777777" w:rsidR="003B36BC" w:rsidRDefault="003B36BC" w:rsidP="00C63A55">
                  <w:pPr>
                    <w:jc w:val="both"/>
                  </w:pPr>
                </w:p>
              </w:tc>
            </w:tr>
          </w:tbl>
          <w:p w14:paraId="3074C130"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3B36BC" w14:paraId="156CC62F"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47BDCD9" w14:textId="77777777" w:rsidR="00B33D3E" w:rsidRDefault="0020275E" w:rsidP="00B33D3E">
                  <w:pPr>
                    <w:jc w:val="both"/>
                    <w:rPr>
                      <w:color w:val="000000"/>
                      <w:sz w:val="24"/>
                    </w:rPr>
                  </w:pPr>
                  <w:r>
                    <w:rPr>
                      <w:color w:val="000000"/>
                      <w:sz w:val="24"/>
                    </w:rPr>
                    <w:t>2015–2024 m. Šiaulių miesto strateginio plėtros plano dalys, susijusios su vykdoma programa:</w:t>
                  </w:r>
                </w:p>
                <w:p w14:paraId="7D904CF0" w14:textId="77777777" w:rsidR="00B33D3E" w:rsidRDefault="0020275E" w:rsidP="00B33D3E">
                  <w:pPr>
                    <w:jc w:val="both"/>
                    <w:rPr>
                      <w:color w:val="000000"/>
                      <w:sz w:val="24"/>
                    </w:rPr>
                  </w:pPr>
                  <w:r>
                    <w:rPr>
                      <w:color w:val="000000"/>
                      <w:sz w:val="24"/>
                    </w:rPr>
                    <w:t>2.1.1. Optimizuoti verslo koordinavimo sistemą;</w:t>
                  </w:r>
                </w:p>
                <w:p w14:paraId="6FC8883A" w14:textId="77777777" w:rsidR="00B33D3E" w:rsidRDefault="0020275E" w:rsidP="00B33D3E">
                  <w:pPr>
                    <w:jc w:val="both"/>
                    <w:rPr>
                      <w:color w:val="000000"/>
                      <w:sz w:val="24"/>
                    </w:rPr>
                  </w:pPr>
                  <w:r>
                    <w:rPr>
                      <w:color w:val="000000"/>
                      <w:sz w:val="24"/>
                    </w:rPr>
                    <w:t>2.1.2. Padidinti miesto investicinį patrauklumą;</w:t>
                  </w:r>
                </w:p>
                <w:p w14:paraId="277D853A" w14:textId="7B1F02CA" w:rsidR="003B36BC" w:rsidRDefault="0020275E" w:rsidP="00B33D3E">
                  <w:pPr>
                    <w:jc w:val="both"/>
                  </w:pPr>
                  <w:r>
                    <w:rPr>
                      <w:color w:val="000000"/>
                      <w:sz w:val="24"/>
                    </w:rPr>
                    <w:t>2.1.3. Gerinti viešųjų paslaugų verslui procesus.</w:t>
                  </w:r>
                </w:p>
              </w:tc>
            </w:tr>
          </w:tbl>
          <w:p w14:paraId="3ABB4786"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3B36BC" w14:paraId="4228DCD8"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3DB3B459" w14:textId="77777777" w:rsidR="003B36BC" w:rsidRDefault="0020275E" w:rsidP="00B33D3E">
                  <w:pPr>
                    <w:jc w:val="both"/>
                  </w:pPr>
                  <w:r>
                    <w:rPr>
                      <w:b/>
                      <w:color w:val="000000"/>
                      <w:sz w:val="24"/>
                    </w:rPr>
                    <w:t>Planuojami programos finansavimo šaltiniai:</w:t>
                  </w:r>
                </w:p>
                <w:p w14:paraId="321A9DEA" w14:textId="77777777" w:rsidR="003B36BC" w:rsidRDefault="0020275E" w:rsidP="00B33D3E">
                  <w:pPr>
                    <w:jc w:val="both"/>
                  </w:pPr>
                  <w:r>
                    <w:rPr>
                      <w:color w:val="000000"/>
                      <w:sz w:val="24"/>
                    </w:rPr>
                    <w:t>Savivaldybės biudžeto lėšos (SB); Europos Sąjungos lėšos (ES); Valstybės biudžeto lėšos (VB); Lėšų likutis ataskaitinio laikotarpio pabaigoje (LIK); Kitų šaltinių lėšos KT (KL)</w:t>
                  </w:r>
                </w:p>
              </w:tc>
            </w:tr>
          </w:tbl>
          <w:p w14:paraId="71793AD1" w14:textId="77777777" w:rsidR="003B36BC" w:rsidRDefault="003B36BC"/>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3B36BC" w14:paraId="3437B47E"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2D25897" w14:textId="77777777" w:rsidR="003B36BC" w:rsidRDefault="0020275E" w:rsidP="00B33D3E">
                  <w:pPr>
                    <w:jc w:val="both"/>
                  </w:pPr>
                  <w:r>
                    <w:rPr>
                      <w:b/>
                      <w:color w:val="000000"/>
                      <w:sz w:val="24"/>
                    </w:rPr>
                    <w:t xml:space="preserve">Susiję Lietuvos Respublikos ir savivaldybės teisės aktai: </w:t>
                  </w:r>
                </w:p>
                <w:p w14:paraId="640C061D" w14:textId="1D8D6FAF" w:rsidR="00B33D3E" w:rsidRPr="00B33D3E" w:rsidRDefault="0020275E" w:rsidP="00E919BE">
                  <w:pPr>
                    <w:pStyle w:val="ListParagraph"/>
                    <w:numPr>
                      <w:ilvl w:val="0"/>
                      <w:numId w:val="1"/>
                    </w:numPr>
                    <w:ind w:left="357" w:hanging="357"/>
                    <w:jc w:val="both"/>
                    <w:rPr>
                      <w:color w:val="000000"/>
                      <w:sz w:val="24"/>
                    </w:rPr>
                  </w:pPr>
                  <w:r w:rsidRPr="00B33D3E">
                    <w:rPr>
                      <w:color w:val="000000"/>
                      <w:sz w:val="24"/>
                    </w:rPr>
                    <w:t>LR vietos savivaldos įstatymas;</w:t>
                  </w:r>
                </w:p>
                <w:p w14:paraId="3DEAB480" w14:textId="159BBD02" w:rsidR="00B33D3E" w:rsidRDefault="0020275E" w:rsidP="00E919BE">
                  <w:pPr>
                    <w:pStyle w:val="ListParagraph"/>
                    <w:numPr>
                      <w:ilvl w:val="0"/>
                      <w:numId w:val="1"/>
                    </w:numPr>
                    <w:ind w:left="357" w:hanging="357"/>
                    <w:jc w:val="both"/>
                    <w:rPr>
                      <w:color w:val="000000"/>
                      <w:sz w:val="24"/>
                    </w:rPr>
                  </w:pPr>
                  <w:r w:rsidRPr="00B33D3E">
                    <w:rPr>
                      <w:color w:val="000000"/>
                      <w:sz w:val="24"/>
                    </w:rPr>
                    <w:t>LR biudžeto sandaros įstatymas;</w:t>
                  </w:r>
                </w:p>
                <w:p w14:paraId="675194B0" w14:textId="517A1565" w:rsidR="00B33D3E" w:rsidRDefault="0020275E" w:rsidP="00E919BE">
                  <w:pPr>
                    <w:pStyle w:val="ListParagraph"/>
                    <w:numPr>
                      <w:ilvl w:val="0"/>
                      <w:numId w:val="1"/>
                    </w:numPr>
                    <w:ind w:left="357" w:hanging="357"/>
                    <w:jc w:val="both"/>
                    <w:rPr>
                      <w:color w:val="000000"/>
                      <w:sz w:val="24"/>
                    </w:rPr>
                  </w:pPr>
                  <w:r w:rsidRPr="00B33D3E">
                    <w:rPr>
                      <w:color w:val="000000"/>
                      <w:sz w:val="24"/>
                    </w:rPr>
                    <w:t>2015–2024 m. Šiaulių m. strateginis plėtros planas;</w:t>
                  </w:r>
                </w:p>
                <w:p w14:paraId="588E1D06" w14:textId="72BA4032" w:rsidR="00B33D3E" w:rsidRDefault="0020275E" w:rsidP="00E919BE">
                  <w:pPr>
                    <w:pStyle w:val="ListParagraph"/>
                    <w:numPr>
                      <w:ilvl w:val="0"/>
                      <w:numId w:val="1"/>
                    </w:numPr>
                    <w:ind w:left="357" w:hanging="357"/>
                    <w:jc w:val="both"/>
                    <w:rPr>
                      <w:color w:val="000000"/>
                      <w:sz w:val="24"/>
                    </w:rPr>
                  </w:pPr>
                  <w:r w:rsidRPr="00B33D3E">
                    <w:rPr>
                      <w:color w:val="000000"/>
                      <w:sz w:val="24"/>
                    </w:rPr>
                    <w:t>LR smulkaus ir vidutinio verslo plėtros įstatymas;</w:t>
                  </w:r>
                </w:p>
                <w:p w14:paraId="17D02A07" w14:textId="4208DD85" w:rsidR="00B33D3E" w:rsidRDefault="0020275E" w:rsidP="00E919BE">
                  <w:pPr>
                    <w:pStyle w:val="ListParagraph"/>
                    <w:numPr>
                      <w:ilvl w:val="0"/>
                      <w:numId w:val="1"/>
                    </w:numPr>
                    <w:ind w:left="357" w:hanging="357"/>
                    <w:jc w:val="both"/>
                    <w:rPr>
                      <w:color w:val="000000"/>
                      <w:sz w:val="24"/>
                    </w:rPr>
                  </w:pPr>
                  <w:r w:rsidRPr="00B33D3E">
                    <w:rPr>
                      <w:color w:val="000000"/>
                      <w:sz w:val="24"/>
                    </w:rPr>
                    <w:t>LR pagalbos ūkio subjektams kontrolės įstatymas;</w:t>
                  </w:r>
                </w:p>
                <w:p w14:paraId="34D6E2DC" w14:textId="52C21718" w:rsidR="00B33D3E" w:rsidRDefault="0020275E" w:rsidP="00E919BE">
                  <w:pPr>
                    <w:pStyle w:val="ListParagraph"/>
                    <w:numPr>
                      <w:ilvl w:val="0"/>
                      <w:numId w:val="1"/>
                    </w:numPr>
                    <w:ind w:left="357" w:hanging="357"/>
                    <w:jc w:val="both"/>
                    <w:rPr>
                      <w:color w:val="000000"/>
                      <w:sz w:val="24"/>
                    </w:rPr>
                  </w:pPr>
                  <w:r w:rsidRPr="00B33D3E">
                    <w:rPr>
                      <w:color w:val="000000"/>
                      <w:sz w:val="24"/>
                    </w:rPr>
                    <w:t>LR konkurencijos įstatymas;</w:t>
                  </w:r>
                </w:p>
                <w:p w14:paraId="51810C0E" w14:textId="1471F189" w:rsidR="00B33D3E" w:rsidRDefault="0020275E" w:rsidP="00E919BE">
                  <w:pPr>
                    <w:pStyle w:val="ListParagraph"/>
                    <w:numPr>
                      <w:ilvl w:val="0"/>
                      <w:numId w:val="1"/>
                    </w:numPr>
                    <w:ind w:left="357" w:hanging="357"/>
                    <w:jc w:val="both"/>
                    <w:rPr>
                      <w:color w:val="000000"/>
                      <w:sz w:val="24"/>
                    </w:rPr>
                  </w:pPr>
                  <w:r w:rsidRPr="00B33D3E">
                    <w:rPr>
                      <w:color w:val="000000"/>
                      <w:sz w:val="24"/>
                    </w:rPr>
                    <w:t>LR investicijų įstatymas;</w:t>
                  </w:r>
                </w:p>
                <w:p w14:paraId="10E42211" w14:textId="250B3ACE" w:rsidR="00B33D3E" w:rsidRDefault="0020275E" w:rsidP="00E919BE">
                  <w:pPr>
                    <w:pStyle w:val="ListParagraph"/>
                    <w:numPr>
                      <w:ilvl w:val="0"/>
                      <w:numId w:val="1"/>
                    </w:numPr>
                    <w:ind w:left="357" w:hanging="357"/>
                    <w:jc w:val="both"/>
                    <w:rPr>
                      <w:color w:val="000000"/>
                      <w:sz w:val="24"/>
                    </w:rPr>
                  </w:pPr>
                  <w:r w:rsidRPr="00B33D3E">
                    <w:rPr>
                      <w:color w:val="000000"/>
                      <w:sz w:val="24"/>
                    </w:rPr>
                    <w:t>LR viešųjų pirkimų įstatymas;</w:t>
                  </w:r>
                </w:p>
                <w:p w14:paraId="533D4276" w14:textId="64D64A57" w:rsidR="00B33D3E" w:rsidRDefault="0020275E" w:rsidP="00E919BE">
                  <w:pPr>
                    <w:pStyle w:val="ListParagraph"/>
                    <w:numPr>
                      <w:ilvl w:val="0"/>
                      <w:numId w:val="1"/>
                    </w:numPr>
                    <w:ind w:left="357" w:hanging="357"/>
                    <w:jc w:val="both"/>
                    <w:rPr>
                      <w:color w:val="000000"/>
                      <w:sz w:val="24"/>
                    </w:rPr>
                  </w:pPr>
                  <w:r w:rsidRPr="00B33D3E">
                    <w:rPr>
                      <w:color w:val="000000"/>
                      <w:sz w:val="24"/>
                    </w:rPr>
                    <w:t>LR užimtumo įstatymas;</w:t>
                  </w:r>
                </w:p>
                <w:p w14:paraId="40D5C4D3" w14:textId="6AF5BDB9" w:rsidR="00B33D3E" w:rsidRDefault="0020275E" w:rsidP="00E919BE">
                  <w:pPr>
                    <w:pStyle w:val="ListParagraph"/>
                    <w:numPr>
                      <w:ilvl w:val="0"/>
                      <w:numId w:val="1"/>
                    </w:numPr>
                    <w:ind w:left="357" w:hanging="357"/>
                    <w:jc w:val="both"/>
                    <w:rPr>
                      <w:color w:val="000000"/>
                      <w:sz w:val="24"/>
                    </w:rPr>
                  </w:pPr>
                  <w:r w:rsidRPr="00B33D3E">
                    <w:rPr>
                      <w:color w:val="000000"/>
                      <w:sz w:val="24"/>
                    </w:rPr>
                    <w:t>LR Aviacijos įstatymas;</w:t>
                  </w:r>
                </w:p>
                <w:p w14:paraId="048305F7" w14:textId="2A9AD4C9" w:rsidR="00B33D3E" w:rsidRDefault="0020275E" w:rsidP="00E919BE">
                  <w:pPr>
                    <w:pStyle w:val="ListParagraph"/>
                    <w:numPr>
                      <w:ilvl w:val="0"/>
                      <w:numId w:val="1"/>
                    </w:numPr>
                    <w:ind w:left="357" w:hanging="357"/>
                    <w:jc w:val="both"/>
                    <w:rPr>
                      <w:color w:val="000000"/>
                      <w:sz w:val="24"/>
                    </w:rPr>
                  </w:pPr>
                  <w:r w:rsidRPr="00B33D3E">
                    <w:rPr>
                      <w:color w:val="000000"/>
                      <w:sz w:val="24"/>
                    </w:rPr>
                    <w:t>LR Strateginę reikšmę nacionaliniam saugumui turinčių įmonių ir įrenginių bei kitų nacionaliniam saugumui užtikrinti svarbių įmonių įstatymas;</w:t>
                  </w:r>
                </w:p>
                <w:p w14:paraId="6A9D6BA6" w14:textId="63AD6805" w:rsidR="003B36BC" w:rsidRPr="00B33D3E" w:rsidRDefault="0020275E" w:rsidP="00E919BE">
                  <w:pPr>
                    <w:pStyle w:val="ListParagraph"/>
                    <w:numPr>
                      <w:ilvl w:val="0"/>
                      <w:numId w:val="1"/>
                    </w:numPr>
                    <w:ind w:left="357" w:hanging="357"/>
                    <w:jc w:val="both"/>
                    <w:rPr>
                      <w:color w:val="000000"/>
                      <w:sz w:val="24"/>
                    </w:rPr>
                  </w:pPr>
                  <w:r w:rsidRPr="00B33D3E">
                    <w:rPr>
                      <w:color w:val="000000"/>
                      <w:sz w:val="24"/>
                    </w:rPr>
                    <w:t>Šiaulių miesto ekonominės plėtros ir investicijų pritraukimo strategija.</w:t>
                  </w:r>
                </w:p>
              </w:tc>
            </w:tr>
          </w:tbl>
          <w:p w14:paraId="581422E8" w14:textId="77777777" w:rsidR="003B36BC" w:rsidRDefault="003B36BC"/>
          <w:p w14:paraId="178C1605" w14:textId="77777777" w:rsidR="003B36BC" w:rsidRDefault="003B36BC"/>
        </w:tc>
      </w:tr>
    </w:tbl>
    <w:p w14:paraId="7DEE7D22" w14:textId="7D151817" w:rsidR="003B36BC" w:rsidRPr="0020275E" w:rsidRDefault="003B36BC">
      <w:pPr>
        <w:rPr>
          <w:sz w:val="0"/>
        </w:rPr>
      </w:pPr>
    </w:p>
    <w:sectPr w:rsidR="003B36BC" w:rsidRPr="0020275E">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900525"/>
    <w:multiLevelType w:val="hybridMultilevel"/>
    <w:tmpl w:val="AC0263A4"/>
    <w:lvl w:ilvl="0" w:tplc="F314F7E8">
      <w:start w:val="1"/>
      <w:numFmt w:val="decimal"/>
      <w:lvlText w:val="%1."/>
      <w:lvlJc w:val="left"/>
      <w:pPr>
        <w:ind w:left="720" w:hanging="360"/>
      </w:pPr>
      <w:rPr>
        <w:rFonts w:ascii="Times New Roman" w:eastAsia="Times New Roman" w:hAnsi="Times New Roman" w:cs="Mang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6BC"/>
    <w:rsid w:val="00186159"/>
    <w:rsid w:val="0020275E"/>
    <w:rsid w:val="003B36BC"/>
    <w:rsid w:val="00B24570"/>
    <w:rsid w:val="00B33D3E"/>
    <w:rsid w:val="00C63A55"/>
    <w:rsid w:val="00E919BE"/>
    <w:rsid w:val="00EF1C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6BB6"/>
  <w15:docId w15:val="{9FA968B8-D0D4-4F62-A843-19D4575EC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B33D3E"/>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4608</Words>
  <Characters>2628</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10</cp:revision>
  <dcterms:created xsi:type="dcterms:W3CDTF">2021-12-13T11:11:00Z</dcterms:created>
  <dcterms:modified xsi:type="dcterms:W3CDTF">2021-12-22T05:52:00Z</dcterms:modified>
  <dc:language>lt-LT</dc:language>
</cp:coreProperties>
</file>