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145490" w14:paraId="12D3146A"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45490" w14:paraId="349E47ED" w14:textId="77777777">
              <w:trPr>
                <w:trHeight w:val="352"/>
              </w:trPr>
              <w:tc>
                <w:tcPr>
                  <w:tcW w:w="9637" w:type="dxa"/>
                  <w:tcBorders>
                    <w:bottom w:val="single" w:sz="6" w:space="0" w:color="000000"/>
                  </w:tcBorders>
                </w:tcPr>
                <w:p w14:paraId="487466F3" w14:textId="77777777" w:rsidR="00145490" w:rsidRDefault="007077A5">
                  <w:pPr>
                    <w:jc w:val="center"/>
                  </w:pPr>
                  <w:r>
                    <w:rPr>
                      <w:b/>
                      <w:color w:val="000000"/>
                      <w:sz w:val="24"/>
                    </w:rPr>
                    <w:t>Turto valdymo ir privatizavimo programa</w:t>
                  </w:r>
                </w:p>
              </w:tc>
            </w:tr>
          </w:tbl>
          <w:p w14:paraId="373A2C29"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45490" w14:paraId="639BAA9C" w14:textId="77777777">
              <w:trPr>
                <w:trHeight w:val="352"/>
              </w:trPr>
              <w:tc>
                <w:tcPr>
                  <w:tcW w:w="9637" w:type="dxa"/>
                </w:tcPr>
                <w:p w14:paraId="4DBCEB4C" w14:textId="77777777" w:rsidR="00145490" w:rsidRDefault="007077A5">
                  <w:pPr>
                    <w:jc w:val="center"/>
                  </w:pPr>
                  <w:r>
                    <w:rPr>
                      <w:i/>
                      <w:color w:val="000000"/>
                      <w:sz w:val="24"/>
                    </w:rPr>
                    <w:t>(programos pavadinimas)</w:t>
                  </w:r>
                </w:p>
              </w:tc>
            </w:tr>
          </w:tbl>
          <w:p w14:paraId="65ED0101" w14:textId="77777777" w:rsidR="00145490" w:rsidRDefault="00145490"/>
          <w:p w14:paraId="504C7780" w14:textId="77777777" w:rsidR="00145490" w:rsidRDefault="00145490"/>
          <w:p w14:paraId="2091582C"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45490" w14:paraId="57F9A4C9" w14:textId="77777777">
              <w:trPr>
                <w:trHeight w:val="352"/>
              </w:trPr>
              <w:tc>
                <w:tcPr>
                  <w:tcW w:w="9637" w:type="dxa"/>
                </w:tcPr>
                <w:p w14:paraId="02F04E54" w14:textId="77777777" w:rsidR="00145490" w:rsidRDefault="007077A5">
                  <w:pPr>
                    <w:jc w:val="center"/>
                  </w:pPr>
                  <w:r>
                    <w:rPr>
                      <w:b/>
                      <w:color w:val="000000"/>
                      <w:sz w:val="24"/>
                    </w:rPr>
                    <w:t xml:space="preserve"> PROGRAMOS APRAŠYMAS</w:t>
                  </w:r>
                </w:p>
              </w:tc>
            </w:tr>
          </w:tbl>
          <w:p w14:paraId="1F339CAC" w14:textId="77777777" w:rsidR="00145490" w:rsidRDefault="00145490"/>
          <w:p w14:paraId="1A0E4150"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145490" w14:paraId="6BAC836A"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2FEC50D6" w14:textId="77777777" w:rsidR="00145490" w:rsidRDefault="007077A5">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17E5F31E" w14:textId="77777777" w:rsidR="00145490" w:rsidRDefault="007077A5">
                  <w:r>
                    <w:rPr>
                      <w:b/>
                      <w:color w:val="000000"/>
                      <w:sz w:val="24"/>
                    </w:rPr>
                    <w:t xml:space="preserve"> </w:t>
                  </w:r>
                  <w:r>
                    <w:rPr>
                      <w:color w:val="000000"/>
                      <w:sz w:val="24"/>
                    </w:rPr>
                    <w:t xml:space="preserve">2022 metai </w:t>
                  </w:r>
                </w:p>
              </w:tc>
            </w:tr>
            <w:tr w:rsidR="00145490" w14:paraId="737095A5"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543A5837" w14:textId="77777777" w:rsidR="00145490" w:rsidRDefault="007077A5">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5D572699" w14:textId="77777777" w:rsidR="00145490" w:rsidRDefault="007077A5">
                  <w:r>
                    <w:rPr>
                      <w:color w:val="000000"/>
                      <w:sz w:val="24"/>
                    </w:rPr>
                    <w:t>Šiaulių m. sav. administracija 188771865</w:t>
                  </w:r>
                </w:p>
              </w:tc>
            </w:tr>
            <w:tr w:rsidR="00145490" w14:paraId="4E085730"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4129C185" w14:textId="77777777" w:rsidR="00145490" w:rsidRDefault="007077A5">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79F1D86A" w14:textId="77777777" w:rsidR="00145490" w:rsidRDefault="007077A5">
                  <w:r>
                    <w:rPr>
                      <w:color w:val="000000"/>
                      <w:sz w:val="24"/>
                    </w:rPr>
                    <w:t>Turto valdymo skyrius</w:t>
                  </w:r>
                </w:p>
              </w:tc>
            </w:tr>
          </w:tbl>
          <w:p w14:paraId="4238B2E9"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145490" w14:paraId="0DBD08F4"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143477A1" w14:textId="77777777" w:rsidR="00145490" w:rsidRDefault="007077A5">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3BDE0CF1" w14:textId="77777777" w:rsidR="00145490" w:rsidRDefault="007077A5">
                  <w:r>
                    <w:rPr>
                      <w:color w:val="000000"/>
                      <w:sz w:val="24"/>
                    </w:rPr>
                    <w:t>Turto valdymo ir privatizavimo programa</w:t>
                  </w:r>
                </w:p>
              </w:tc>
              <w:tc>
                <w:tcPr>
                  <w:tcW w:w="1117" w:type="dxa"/>
                  <w:tcBorders>
                    <w:top w:val="single" w:sz="2" w:space="0" w:color="000000"/>
                    <w:left w:val="single" w:sz="2" w:space="0" w:color="000000"/>
                    <w:bottom w:val="single" w:sz="2" w:space="0" w:color="000000"/>
                    <w:right w:val="single" w:sz="2" w:space="0" w:color="000000"/>
                  </w:tcBorders>
                </w:tcPr>
                <w:p w14:paraId="50A34EE5" w14:textId="77777777" w:rsidR="00145490" w:rsidRDefault="007077A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4167CC3" w14:textId="77777777" w:rsidR="00145490" w:rsidRDefault="007077A5">
                  <w:pPr>
                    <w:jc w:val="center"/>
                  </w:pPr>
                  <w:r>
                    <w:rPr>
                      <w:color w:val="000000"/>
                      <w:sz w:val="24"/>
                    </w:rPr>
                    <w:t>06.</w:t>
                  </w:r>
                </w:p>
              </w:tc>
            </w:tr>
          </w:tbl>
          <w:p w14:paraId="1D062533"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3209"/>
              <w:gridCol w:w="4157"/>
              <w:gridCol w:w="1116"/>
              <w:gridCol w:w="1145"/>
            </w:tblGrid>
            <w:tr w:rsidR="00145490" w14:paraId="7C655938" w14:textId="77777777" w:rsidTr="003A643E">
              <w:trPr>
                <w:trHeight w:val="622"/>
              </w:trPr>
              <w:tc>
                <w:tcPr>
                  <w:tcW w:w="3212" w:type="dxa"/>
                  <w:tcBorders>
                    <w:top w:val="single" w:sz="4" w:space="0" w:color="auto"/>
                    <w:left w:val="single" w:sz="4" w:space="0" w:color="auto"/>
                    <w:bottom w:val="single" w:sz="4" w:space="0" w:color="auto"/>
                    <w:right w:val="single" w:sz="4" w:space="0" w:color="auto"/>
                  </w:tcBorders>
                </w:tcPr>
                <w:p w14:paraId="0FCDEA33" w14:textId="77777777" w:rsidR="00145490" w:rsidRDefault="007077A5">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699E63BE" w14:textId="77777777" w:rsidR="00145490" w:rsidRDefault="007077A5" w:rsidP="003A643E">
                  <w:pPr>
                    <w:jc w:val="both"/>
                  </w:pPr>
                  <w:r>
                    <w:rPr>
                      <w:color w:val="000000"/>
                      <w:sz w:val="24"/>
                    </w:rPr>
                    <w:t xml:space="preserve">Programa tęstinė ir parengta, siekiant įgyvendinti Šiaulių miesto 2015–2024 m. strateginiame plėtros plane numatytus tikslus ir uždavinius. </w:t>
                  </w:r>
                  <w:r>
                    <w:rPr>
                      <w:color w:val="000000"/>
                      <w:sz w:val="24"/>
                    </w:rPr>
                    <w:br/>
                    <w:t>Programa skirta Savivaldybės nuosavybės teise priklausančio turto valdymo gerinimui ir savivaldybės pajamoms didinti.</w:t>
                  </w:r>
                </w:p>
              </w:tc>
            </w:tr>
            <w:tr w:rsidR="00145490" w14:paraId="6915D3F0" w14:textId="77777777" w:rsidTr="003A643E">
              <w:trPr>
                <w:trHeight w:val="183"/>
              </w:trPr>
              <w:tc>
                <w:tcPr>
                  <w:tcW w:w="3212" w:type="dxa"/>
                  <w:tcBorders>
                    <w:top w:val="single" w:sz="4" w:space="0" w:color="auto"/>
                  </w:tcBorders>
                  <w:tcMar>
                    <w:top w:w="0" w:type="dxa"/>
                    <w:left w:w="0" w:type="dxa"/>
                    <w:bottom w:w="0" w:type="dxa"/>
                    <w:right w:w="0" w:type="dxa"/>
                  </w:tcMar>
                </w:tcPr>
                <w:p w14:paraId="6C05058C" w14:textId="77777777" w:rsidR="00145490" w:rsidRDefault="00145490"/>
              </w:tc>
              <w:tc>
                <w:tcPr>
                  <w:tcW w:w="4161" w:type="dxa"/>
                  <w:tcBorders>
                    <w:top w:val="single" w:sz="4" w:space="0" w:color="auto"/>
                  </w:tcBorders>
                  <w:tcMar>
                    <w:top w:w="0" w:type="dxa"/>
                    <w:left w:w="0" w:type="dxa"/>
                    <w:bottom w:w="0" w:type="dxa"/>
                    <w:right w:w="0" w:type="dxa"/>
                  </w:tcMar>
                </w:tcPr>
                <w:p w14:paraId="17B2AF4B" w14:textId="77777777" w:rsidR="00145490" w:rsidRDefault="00145490"/>
              </w:tc>
              <w:tc>
                <w:tcPr>
                  <w:tcW w:w="1117" w:type="dxa"/>
                  <w:tcBorders>
                    <w:top w:val="single" w:sz="4" w:space="0" w:color="auto"/>
                  </w:tcBorders>
                  <w:tcMar>
                    <w:top w:w="0" w:type="dxa"/>
                    <w:left w:w="0" w:type="dxa"/>
                    <w:bottom w:w="0" w:type="dxa"/>
                    <w:right w:w="0" w:type="dxa"/>
                  </w:tcMar>
                </w:tcPr>
                <w:p w14:paraId="3CFB8539" w14:textId="77777777" w:rsidR="00145490" w:rsidRDefault="00145490"/>
              </w:tc>
              <w:tc>
                <w:tcPr>
                  <w:tcW w:w="1146" w:type="dxa"/>
                  <w:tcBorders>
                    <w:top w:val="single" w:sz="4" w:space="0" w:color="auto"/>
                  </w:tcBorders>
                  <w:tcMar>
                    <w:top w:w="0" w:type="dxa"/>
                    <w:left w:w="0" w:type="dxa"/>
                    <w:bottom w:w="0" w:type="dxa"/>
                    <w:right w:w="0" w:type="dxa"/>
                  </w:tcMar>
                </w:tcPr>
                <w:p w14:paraId="18329F4C" w14:textId="77777777" w:rsidR="00145490" w:rsidRDefault="00145490"/>
              </w:tc>
            </w:tr>
            <w:tr w:rsidR="00145490" w14:paraId="18EFA7BB"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05709A46" w14:textId="77777777" w:rsidR="00145490" w:rsidRDefault="007077A5">
                  <w:r>
                    <w:rPr>
                      <w:b/>
                      <w:color w:val="000000"/>
                      <w:sz w:val="24"/>
                    </w:rPr>
                    <w:t>Ilgalaikis prioritetas</w:t>
                  </w:r>
                </w:p>
                <w:p w14:paraId="4BDB1B1D" w14:textId="77777777" w:rsidR="00145490" w:rsidRDefault="007077A5">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2FABFD68" w14:textId="77777777" w:rsidR="00145490" w:rsidRDefault="007077A5" w:rsidP="003A643E">
                  <w:pPr>
                    <w:jc w:val="both"/>
                  </w:pPr>
                  <w:r>
                    <w:rPr>
                      <w:color w:val="000000"/>
                      <w:sz w:val="24"/>
                    </w:rPr>
                    <w:t>Veržlus – konkurencinga verslo aplinka</w:t>
                  </w:r>
                </w:p>
              </w:tc>
              <w:tc>
                <w:tcPr>
                  <w:tcW w:w="1117" w:type="dxa"/>
                  <w:tcBorders>
                    <w:top w:val="single" w:sz="2" w:space="0" w:color="000000"/>
                    <w:left w:val="single" w:sz="2" w:space="0" w:color="000000"/>
                    <w:bottom w:val="single" w:sz="2" w:space="0" w:color="000000"/>
                    <w:right w:val="single" w:sz="2" w:space="0" w:color="000000"/>
                  </w:tcBorders>
                </w:tcPr>
                <w:p w14:paraId="74253866" w14:textId="77777777" w:rsidR="00145490" w:rsidRDefault="007077A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52F1950B" w14:textId="77777777" w:rsidR="00145490" w:rsidRDefault="007077A5">
                  <w:pPr>
                    <w:jc w:val="center"/>
                  </w:pPr>
                  <w:r>
                    <w:rPr>
                      <w:color w:val="000000"/>
                      <w:sz w:val="24"/>
                    </w:rPr>
                    <w:t>2</w:t>
                  </w:r>
                </w:p>
              </w:tc>
            </w:tr>
            <w:tr w:rsidR="00145490" w14:paraId="19850E84"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3D027784" w14:textId="77777777" w:rsidR="00145490" w:rsidRDefault="007077A5">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22AFE0D7" w14:textId="77777777" w:rsidR="00145490" w:rsidRDefault="007077A5" w:rsidP="003A643E">
                  <w:pPr>
                    <w:jc w:val="both"/>
                  </w:pPr>
                  <w:r>
                    <w:rPr>
                      <w:color w:val="000000"/>
                      <w:sz w:val="24"/>
                    </w:rPr>
                    <w:t>Efektyviai panaudojant žmogiškuosius ir finansinius resursus formuoti palankią aplinką investicijų pritraukimui</w:t>
                  </w:r>
                </w:p>
              </w:tc>
              <w:tc>
                <w:tcPr>
                  <w:tcW w:w="1117" w:type="dxa"/>
                  <w:tcBorders>
                    <w:top w:val="single" w:sz="2" w:space="0" w:color="000000"/>
                    <w:left w:val="single" w:sz="2" w:space="0" w:color="000000"/>
                    <w:bottom w:val="single" w:sz="2" w:space="0" w:color="000000"/>
                    <w:right w:val="single" w:sz="2" w:space="0" w:color="000000"/>
                  </w:tcBorders>
                </w:tcPr>
                <w:p w14:paraId="5051626F" w14:textId="77777777" w:rsidR="00145490" w:rsidRDefault="007077A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5D3A1D5B" w14:textId="77777777" w:rsidR="00145490" w:rsidRDefault="007077A5">
                  <w:pPr>
                    <w:jc w:val="center"/>
                  </w:pPr>
                  <w:r>
                    <w:rPr>
                      <w:color w:val="000000"/>
                      <w:sz w:val="24"/>
                    </w:rPr>
                    <w:t>06-2</w:t>
                  </w:r>
                </w:p>
              </w:tc>
            </w:tr>
          </w:tbl>
          <w:p w14:paraId="02DC8DE4" w14:textId="77777777" w:rsidR="00145490" w:rsidRDefault="00145490"/>
          <w:tbl>
            <w:tblPr>
              <w:tblW w:w="5000" w:type="pct"/>
              <w:tblCellMar>
                <w:left w:w="0" w:type="dxa"/>
                <w:right w:w="0" w:type="dxa"/>
              </w:tblCellMar>
              <w:tblLook w:val="04A0" w:firstRow="1" w:lastRow="0" w:firstColumn="1" w:lastColumn="0" w:noHBand="0" w:noVBand="1"/>
            </w:tblPr>
            <w:tblGrid>
              <w:gridCol w:w="9621"/>
            </w:tblGrid>
            <w:tr w:rsidR="00145490" w14:paraId="6F2CCCEA" w14:textId="77777777">
              <w:trPr>
                <w:trHeight w:val="4496"/>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145490" w14:paraId="720F4027"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145490" w14:paraId="04E2F314" w14:textId="77777777">
                          <w:trPr>
                            <w:trHeight w:val="577"/>
                          </w:trPr>
                          <w:tc>
                            <w:tcPr>
                              <w:tcW w:w="1685" w:type="dxa"/>
                              <w:tcBorders>
                                <w:bottom w:val="single" w:sz="2" w:space="0" w:color="000000"/>
                                <w:right w:val="single" w:sz="2" w:space="0" w:color="000000"/>
                              </w:tcBorders>
                            </w:tcPr>
                            <w:p w14:paraId="623C1069" w14:textId="77777777" w:rsidR="00145490" w:rsidRDefault="007077A5" w:rsidP="003A643E">
                              <w:pPr>
                                <w:jc w:val="both"/>
                              </w:pPr>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354E68E9" w14:textId="77777777" w:rsidR="00145490" w:rsidRDefault="007077A5" w:rsidP="003A643E">
                              <w:pPr>
                                <w:jc w:val="both"/>
                              </w:pPr>
                              <w:r>
                                <w:rPr>
                                  <w:color w:val="000000"/>
                                  <w:sz w:val="24"/>
                                </w:rPr>
                                <w:t>Užtikrinti Savivaldybei nuosavybės teise priklausančio turto efektyvų panaudojimą</w:t>
                              </w:r>
                            </w:p>
                          </w:tc>
                          <w:tc>
                            <w:tcPr>
                              <w:tcW w:w="1146" w:type="dxa"/>
                              <w:tcBorders>
                                <w:left w:val="single" w:sz="2" w:space="0" w:color="000000"/>
                                <w:bottom w:val="single" w:sz="2" w:space="0" w:color="000000"/>
                                <w:right w:val="single" w:sz="2" w:space="0" w:color="000000"/>
                              </w:tcBorders>
                            </w:tcPr>
                            <w:p w14:paraId="1C1B782E" w14:textId="77777777" w:rsidR="00145490" w:rsidRDefault="007077A5" w:rsidP="002E504F">
                              <w:pPr>
                                <w:jc w:val="center"/>
                              </w:pPr>
                              <w:r>
                                <w:rPr>
                                  <w:b/>
                                  <w:color w:val="000000"/>
                                  <w:sz w:val="24"/>
                                </w:rPr>
                                <w:t>Kodas</w:t>
                              </w:r>
                            </w:p>
                            <w:p w14:paraId="64DE45C4" w14:textId="77777777" w:rsidR="00145490" w:rsidRDefault="00145490" w:rsidP="003A643E">
                              <w:pPr>
                                <w:jc w:val="both"/>
                              </w:pPr>
                            </w:p>
                          </w:tc>
                          <w:tc>
                            <w:tcPr>
                              <w:tcW w:w="1137" w:type="dxa"/>
                              <w:tcBorders>
                                <w:left w:val="single" w:sz="2" w:space="0" w:color="000000"/>
                                <w:bottom w:val="single" w:sz="2" w:space="0" w:color="000000"/>
                              </w:tcBorders>
                            </w:tcPr>
                            <w:p w14:paraId="3E274DDD" w14:textId="77777777" w:rsidR="00145490" w:rsidRPr="007077A5" w:rsidRDefault="007077A5" w:rsidP="007077A5">
                              <w:pPr>
                                <w:jc w:val="center"/>
                              </w:pPr>
                              <w:r w:rsidRPr="007077A5">
                                <w:rPr>
                                  <w:color w:val="000000"/>
                                  <w:sz w:val="24"/>
                                </w:rPr>
                                <w:t>06.01.</w:t>
                              </w:r>
                            </w:p>
                          </w:tc>
                        </w:tr>
                      </w:tbl>
                      <w:p w14:paraId="1193E6F0" w14:textId="77777777" w:rsidR="00145490" w:rsidRDefault="00145490" w:rsidP="003A643E">
                        <w:pPr>
                          <w:jc w:val="both"/>
                        </w:pPr>
                      </w:p>
                    </w:tc>
                  </w:tr>
                  <w:tr w:rsidR="00145490" w14:paraId="2C2EEC2B"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4CF4E991" w14:textId="77777777">
                          <w:trPr>
                            <w:trHeight w:val="262"/>
                          </w:trPr>
                          <w:tc>
                            <w:tcPr>
                              <w:tcW w:w="9637" w:type="dxa"/>
                            </w:tcPr>
                            <w:p w14:paraId="4E1D167F" w14:textId="77777777" w:rsidR="00145490" w:rsidRDefault="007077A5" w:rsidP="003A643E">
                              <w:pPr>
                                <w:jc w:val="both"/>
                              </w:pPr>
                              <w:r>
                                <w:rPr>
                                  <w:b/>
                                  <w:color w:val="000000"/>
                                  <w:sz w:val="24"/>
                                </w:rPr>
                                <w:t xml:space="preserve">Tikslo įgyvendinimo aprašymas: </w:t>
                              </w:r>
                            </w:p>
                          </w:tc>
                        </w:tr>
                      </w:tbl>
                      <w:p w14:paraId="6AB13AF0" w14:textId="77777777" w:rsidR="00145490" w:rsidRDefault="00145490" w:rsidP="003A643E">
                        <w:pPr>
                          <w:jc w:val="both"/>
                        </w:pPr>
                      </w:p>
                    </w:tc>
                  </w:tr>
                  <w:tr w:rsidR="00145490" w14:paraId="44FA1B6E"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37086F08" w14:textId="77777777">
                          <w:trPr>
                            <w:trHeight w:val="262"/>
                          </w:trPr>
                          <w:tc>
                            <w:tcPr>
                              <w:tcW w:w="9637" w:type="dxa"/>
                            </w:tcPr>
                            <w:p w14:paraId="1F270570" w14:textId="77777777" w:rsidR="00145490" w:rsidRDefault="007077A5" w:rsidP="003A643E">
                              <w:pPr>
                                <w:jc w:val="both"/>
                              </w:pPr>
                              <w:r>
                                <w:rPr>
                                  <w:color w:val="000000"/>
                                  <w:sz w:val="24"/>
                                </w:rPr>
                                <w:t>Įgyvendinant šį tikslą, siekiama sutvarkyti savivaldybei nuosavybės teise priklausančio turto kadastrinius matavimus bei registraciją Nekilnojamo turto registre, sudaryti geresnes sąlygas juo disponuoti, valdyti.</w:t>
                              </w:r>
                            </w:p>
                          </w:tc>
                        </w:tr>
                      </w:tbl>
                      <w:p w14:paraId="59985B79" w14:textId="77777777" w:rsidR="00145490" w:rsidRDefault="00145490" w:rsidP="003A643E">
                        <w:pPr>
                          <w:jc w:val="both"/>
                        </w:pPr>
                      </w:p>
                    </w:tc>
                  </w:tr>
                  <w:tr w:rsidR="00145490" w14:paraId="3B2915B0"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145490" w14:paraId="5DE2F5FD"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145490" w14:paraId="78FE7874" w14:textId="77777777">
                                <w:trPr>
                                  <w:trHeight w:val="272"/>
                                </w:trPr>
                                <w:tc>
                                  <w:tcPr>
                                    <w:tcW w:w="3855" w:type="dxa"/>
                                    <w:tcBorders>
                                      <w:top w:val="single" w:sz="6" w:space="0" w:color="000000"/>
                                      <w:bottom w:val="single" w:sz="6" w:space="0" w:color="000000"/>
                                      <w:right w:val="single" w:sz="2" w:space="0" w:color="000000"/>
                                    </w:tcBorders>
                                  </w:tcPr>
                                  <w:p w14:paraId="49FB2912" w14:textId="77777777" w:rsidR="00145490" w:rsidRDefault="007077A5" w:rsidP="003A643E">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436376C6" w14:textId="77777777" w:rsidR="00145490" w:rsidRDefault="007077A5" w:rsidP="003A643E">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59D05E99" w14:textId="77777777" w:rsidR="00145490" w:rsidRDefault="007077A5" w:rsidP="003A643E">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29C9F72A" w14:textId="77777777" w:rsidR="00145490" w:rsidRDefault="007077A5" w:rsidP="003A643E">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441BC918" w14:textId="77777777" w:rsidR="00145490" w:rsidRDefault="007077A5" w:rsidP="003A643E">
                                    <w:pPr>
                                      <w:jc w:val="center"/>
                                    </w:pPr>
                                    <w:r>
                                      <w:rPr>
                                        <w:color w:val="000000"/>
                                        <w:sz w:val="24"/>
                                      </w:rPr>
                                      <w:t>2024</w:t>
                                    </w:r>
                                  </w:p>
                                </w:tc>
                              </w:tr>
                            </w:tbl>
                            <w:p w14:paraId="555FF911" w14:textId="77777777" w:rsidR="00145490" w:rsidRDefault="00145490" w:rsidP="003A643E">
                              <w:pPr>
                                <w:jc w:val="both"/>
                              </w:pPr>
                            </w:p>
                          </w:tc>
                        </w:tr>
                        <w:tr w:rsidR="00145490" w14:paraId="45890929"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145490" w14:paraId="372FE33E" w14:textId="77777777">
                                <w:trPr>
                                  <w:trHeight w:val="272"/>
                                </w:trPr>
                                <w:tc>
                                  <w:tcPr>
                                    <w:tcW w:w="3855" w:type="dxa"/>
                                    <w:tcBorders>
                                      <w:top w:val="single" w:sz="6" w:space="0" w:color="000000"/>
                                      <w:bottom w:val="single" w:sz="6" w:space="0" w:color="000000"/>
                                      <w:right w:val="single" w:sz="2" w:space="0" w:color="000000"/>
                                    </w:tcBorders>
                                  </w:tcPr>
                                  <w:p w14:paraId="6703CB91" w14:textId="77777777" w:rsidR="00145490" w:rsidRDefault="007077A5" w:rsidP="003A643E">
                                    <w:pPr>
                                      <w:jc w:val="both"/>
                                    </w:pPr>
                                    <w:r>
                                      <w:rPr>
                                        <w:color w:val="000000"/>
                                        <w:sz w:val="24"/>
                                      </w:rPr>
                                      <w:t>Teisiškai sutvarkytų ir  įregistruotų  nekilnojamojo turto sk.  nuo viso turimo turto, proc.</w:t>
                                    </w:r>
                                  </w:p>
                                </w:tc>
                                <w:tc>
                                  <w:tcPr>
                                    <w:tcW w:w="1020" w:type="dxa"/>
                                    <w:tcBorders>
                                      <w:top w:val="single" w:sz="6" w:space="0" w:color="000000"/>
                                      <w:left w:val="single" w:sz="2" w:space="0" w:color="000000"/>
                                      <w:bottom w:val="single" w:sz="6" w:space="0" w:color="000000"/>
                                      <w:right w:val="single" w:sz="2" w:space="0" w:color="000000"/>
                                    </w:tcBorders>
                                  </w:tcPr>
                                  <w:p w14:paraId="17A55FA8" w14:textId="77777777" w:rsidR="00145490" w:rsidRDefault="007077A5" w:rsidP="003A643E">
                                    <w:pPr>
                                      <w:jc w:val="center"/>
                                    </w:pPr>
                                    <w:r>
                                      <w:rPr>
                                        <w:color w:val="000000"/>
                                        <w:sz w:val="24"/>
                                      </w:rPr>
                                      <w:t>proc.</w:t>
                                    </w:r>
                                  </w:p>
                                </w:tc>
                                <w:tc>
                                  <w:tcPr>
                                    <w:tcW w:w="1587" w:type="dxa"/>
                                    <w:tcBorders>
                                      <w:top w:val="single" w:sz="6" w:space="0" w:color="000000"/>
                                      <w:left w:val="single" w:sz="2" w:space="0" w:color="000000"/>
                                      <w:bottom w:val="single" w:sz="6" w:space="0" w:color="000000"/>
                                      <w:right w:val="single" w:sz="2" w:space="0" w:color="000000"/>
                                    </w:tcBorders>
                                  </w:tcPr>
                                  <w:p w14:paraId="3E536BAD" w14:textId="77777777" w:rsidR="00145490" w:rsidRDefault="007077A5" w:rsidP="003A643E">
                                    <w:pPr>
                                      <w:jc w:val="center"/>
                                    </w:pPr>
                                    <w:r>
                                      <w:rPr>
                                        <w:color w:val="000000"/>
                                        <w:sz w:val="24"/>
                                      </w:rPr>
                                      <w:t>70,00</w:t>
                                    </w:r>
                                  </w:p>
                                </w:tc>
                                <w:tc>
                                  <w:tcPr>
                                    <w:tcW w:w="1587" w:type="dxa"/>
                                    <w:tcBorders>
                                      <w:top w:val="single" w:sz="6" w:space="0" w:color="000000"/>
                                      <w:left w:val="single" w:sz="2" w:space="0" w:color="000000"/>
                                      <w:bottom w:val="single" w:sz="6" w:space="0" w:color="000000"/>
                                      <w:right w:val="single" w:sz="2" w:space="0" w:color="000000"/>
                                    </w:tcBorders>
                                  </w:tcPr>
                                  <w:p w14:paraId="215695CE" w14:textId="77777777" w:rsidR="00145490" w:rsidRDefault="007077A5" w:rsidP="003A643E">
                                    <w:pPr>
                                      <w:jc w:val="center"/>
                                    </w:pPr>
                                    <w:r>
                                      <w:rPr>
                                        <w:color w:val="000000"/>
                                        <w:sz w:val="24"/>
                                      </w:rPr>
                                      <w:t>85,00</w:t>
                                    </w:r>
                                  </w:p>
                                </w:tc>
                                <w:tc>
                                  <w:tcPr>
                                    <w:tcW w:w="1588" w:type="dxa"/>
                                    <w:tcBorders>
                                      <w:top w:val="single" w:sz="6" w:space="0" w:color="000000"/>
                                      <w:left w:val="single" w:sz="2" w:space="0" w:color="000000"/>
                                      <w:bottom w:val="single" w:sz="6" w:space="0" w:color="000000"/>
                                    </w:tcBorders>
                                  </w:tcPr>
                                  <w:p w14:paraId="11BDBE08" w14:textId="77777777" w:rsidR="00145490" w:rsidRDefault="007077A5" w:rsidP="003A643E">
                                    <w:pPr>
                                      <w:jc w:val="center"/>
                                    </w:pPr>
                                    <w:r>
                                      <w:rPr>
                                        <w:color w:val="000000"/>
                                        <w:sz w:val="24"/>
                                      </w:rPr>
                                      <w:t>90,00</w:t>
                                    </w:r>
                                  </w:p>
                                </w:tc>
                              </w:tr>
                            </w:tbl>
                            <w:p w14:paraId="432D8D0D" w14:textId="77777777" w:rsidR="00145490" w:rsidRDefault="00145490" w:rsidP="003A643E">
                              <w:pPr>
                                <w:jc w:val="both"/>
                              </w:pPr>
                            </w:p>
                          </w:tc>
                        </w:tr>
                      </w:tbl>
                      <w:p w14:paraId="353130C7" w14:textId="77777777" w:rsidR="00145490" w:rsidRDefault="00145490" w:rsidP="003A643E">
                        <w:pPr>
                          <w:jc w:val="both"/>
                        </w:pPr>
                      </w:p>
                    </w:tc>
                  </w:tr>
                  <w:tr w:rsidR="00145490" w14:paraId="7EBC1ABD"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145490" w14:paraId="71A86280"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45490" w14:paraId="026D9ABA" w14:textId="77777777">
                                <w:trPr>
                                  <w:trHeight w:val="340"/>
                                </w:trPr>
                                <w:tc>
                                  <w:tcPr>
                                    <w:tcW w:w="9637" w:type="dxa"/>
                                  </w:tcPr>
                                  <w:p w14:paraId="51561704" w14:textId="77777777" w:rsidR="003A643E" w:rsidRDefault="003A643E"/>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3E972AF9" w14:textId="77777777" w:rsidTr="003A643E">
                                      <w:trPr>
                                        <w:trHeight w:val="262"/>
                                      </w:trPr>
                                      <w:tc>
                                        <w:tcPr>
                                          <w:tcW w:w="9606" w:type="dxa"/>
                                        </w:tcPr>
                                        <w:p w14:paraId="3231E126" w14:textId="77777777" w:rsidR="00145490" w:rsidRDefault="007077A5" w:rsidP="003A643E">
                                          <w:pPr>
                                            <w:jc w:val="both"/>
                                          </w:pPr>
                                          <w:r>
                                            <w:rPr>
                                              <w:b/>
                                              <w:color w:val="000000"/>
                                              <w:sz w:val="24"/>
                                            </w:rPr>
                                            <w:t>06.01.01. Uždavinys. Užtikrinti Savivaldybei nuosavybės teise priklausančio turto įregistravimą viešuosiuose registruose</w:t>
                                          </w:r>
                                        </w:p>
                                      </w:tc>
                                    </w:tr>
                                  </w:tbl>
                                  <w:p w14:paraId="485866D3" w14:textId="77777777" w:rsidR="00145490" w:rsidRDefault="00145490" w:rsidP="003A643E">
                                    <w:pPr>
                                      <w:jc w:val="both"/>
                                    </w:pPr>
                                  </w:p>
                                </w:tc>
                              </w:tr>
                              <w:tr w:rsidR="00145490" w14:paraId="0CB16B7F"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3663DA49" w14:textId="77777777">
                                      <w:trPr>
                                        <w:trHeight w:val="362"/>
                                      </w:trPr>
                                      <w:tc>
                                        <w:tcPr>
                                          <w:tcW w:w="9637" w:type="dxa"/>
                                        </w:tcPr>
                                        <w:p w14:paraId="41D57E87" w14:textId="77777777" w:rsidR="00145490" w:rsidRDefault="007077A5" w:rsidP="003A643E">
                                          <w:pPr>
                                            <w:jc w:val="both"/>
                                          </w:pPr>
                                          <w:r>
                                            <w:rPr>
                                              <w:color w:val="000000"/>
                                              <w:sz w:val="24"/>
                                            </w:rPr>
                                            <w:t xml:space="preserve">Įgyvendinant šį uždavinį, planuojama organizuoti įvairių pastatų, patalpų (taip pat kurie neturi savininkų ar kurių savininkai nežinomi) ir inžinerinių statinių vertinimą, kadastrinių matavimų atlikimą ir jų įteisinimą Nekilnojamojo turto registre (arba duomenis yra patikslinami). </w:t>
                                          </w:r>
                                          <w:r>
                                            <w:rPr>
                                              <w:color w:val="000000"/>
                                              <w:sz w:val="24"/>
                                            </w:rPr>
                                            <w:br/>
                                            <w:t xml:space="preserve">Privatizuojant savivaldybei nuosavybės teise priklausantį turtą (pvz., akcijas, negyvenamąsias patalpas ir kt.) rengiamas privatizavimo objektų sąrašas. Sąraše esantiems objektams yra atliekamas vertinimas, kadastriniai matavimai, pagal poreikį objektai registruojami Nekilnojamojo turto </w:t>
                                          </w:r>
                                          <w:r>
                                            <w:rPr>
                                              <w:color w:val="000000"/>
                                              <w:sz w:val="24"/>
                                            </w:rPr>
                                            <w:lastRenderedPageBreak/>
                                            <w:t>registre, apmokamos notaro išlaidos, rengiamos objektų privatizavimo programos, pasirašomi privatizavimo sandoriai, kontroliuojamas jų vykdymas.</w:t>
                                          </w:r>
                                        </w:p>
                                      </w:tc>
                                    </w:tr>
                                  </w:tbl>
                                  <w:p w14:paraId="2FB9F9D0" w14:textId="77777777" w:rsidR="00145490" w:rsidRDefault="00145490" w:rsidP="003A643E">
                                    <w:pPr>
                                      <w:jc w:val="both"/>
                                    </w:pPr>
                                  </w:p>
                                </w:tc>
                              </w:tr>
                            </w:tbl>
                            <w:p w14:paraId="0D758CD4" w14:textId="77777777" w:rsidR="00145490" w:rsidRDefault="00145490" w:rsidP="003A643E">
                              <w:pPr>
                                <w:jc w:val="both"/>
                              </w:pPr>
                            </w:p>
                          </w:tc>
                        </w:tr>
                        <w:tr w:rsidR="00145490" w14:paraId="3A907677"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45490" w14:paraId="0943B776" w14:textId="77777777">
                                <w:trPr>
                                  <w:trHeight w:val="340"/>
                                </w:trPr>
                                <w:tc>
                                  <w:tcPr>
                                    <w:tcW w:w="9637" w:type="dxa"/>
                                  </w:tcPr>
                                  <w:p w14:paraId="6EBDE0DF" w14:textId="77777777" w:rsidR="003A643E" w:rsidRDefault="003A643E"/>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66D1436E" w14:textId="77777777" w:rsidTr="003A643E">
                                      <w:trPr>
                                        <w:trHeight w:val="262"/>
                                      </w:trPr>
                                      <w:tc>
                                        <w:tcPr>
                                          <w:tcW w:w="9606" w:type="dxa"/>
                                        </w:tcPr>
                                        <w:p w14:paraId="63D7BF42" w14:textId="77777777" w:rsidR="00145490" w:rsidRDefault="007077A5" w:rsidP="003A643E">
                                          <w:pPr>
                                            <w:jc w:val="both"/>
                                          </w:pPr>
                                          <w:r>
                                            <w:rPr>
                                              <w:b/>
                                              <w:color w:val="000000"/>
                                              <w:sz w:val="24"/>
                                            </w:rPr>
                                            <w:t>06.01.02. Uždavinys. Tinkamai eksploatuoti, renovuoti, remontuoti ir  saugoti Savivaldybei nuosavybės teise priklausantį turtą</w:t>
                                          </w:r>
                                        </w:p>
                                      </w:tc>
                                    </w:tr>
                                  </w:tbl>
                                  <w:p w14:paraId="0514C7DA" w14:textId="77777777" w:rsidR="00145490" w:rsidRDefault="00145490" w:rsidP="003A643E">
                                    <w:pPr>
                                      <w:jc w:val="both"/>
                                    </w:pPr>
                                  </w:p>
                                </w:tc>
                              </w:tr>
                              <w:tr w:rsidR="00145490" w14:paraId="58F0D404"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4628DCCD" w14:textId="77777777">
                                      <w:trPr>
                                        <w:trHeight w:val="362"/>
                                      </w:trPr>
                                      <w:tc>
                                        <w:tcPr>
                                          <w:tcW w:w="9637" w:type="dxa"/>
                                        </w:tcPr>
                                        <w:p w14:paraId="05E1E55D" w14:textId="323675A4" w:rsidR="00145490" w:rsidRPr="003A643E" w:rsidRDefault="007077A5" w:rsidP="003A643E">
                                          <w:pPr>
                                            <w:jc w:val="both"/>
                                            <w:rPr>
                                              <w:color w:val="000000"/>
                                              <w:sz w:val="24"/>
                                            </w:rPr>
                                          </w:pPr>
                                          <w:r>
                                            <w:rPr>
                                              <w:color w:val="000000"/>
                                              <w:sz w:val="24"/>
                                            </w:rPr>
                                            <w:t>Šiaulių miesto savivaldybei nuosavybės teise priklausančio turto  administravimas turi būti vykdomas planingai, organizuojamas tinkamas jo eksploatavimas ir priežiūra, registruojamos ir išregistruojamos įvairios sutartys, atliekami kadastriniai matavimai, teisinė registracija ir kt. Įgyvendinant šį uždavinį, bus apmokamos turto eksploatavimo, administravimo, kaupimo, remonto, draudimo, skolų išieškojimo, nuomininkų iškeldinimo ir kitos išlaidos.</w:t>
                                          </w:r>
                                          <w:r w:rsidR="003A643E">
                                            <w:rPr>
                                              <w:color w:val="000000"/>
                                              <w:sz w:val="24"/>
                                            </w:rPr>
                                            <w:t xml:space="preserve"> </w:t>
                                          </w:r>
                                          <w:r>
                                            <w:rPr>
                                              <w:color w:val="000000"/>
                                              <w:sz w:val="24"/>
                                            </w:rPr>
                                            <w:t>Taip pat įgyvendinant uždavinį, numatyta 2022 m. pasirašyti naują koncesijos sutartį dėl Aukštabalio multifunkcinio komplekso eksploatavimo. Turto perdavimas naujam koncesininkui valdyti planuojamas ne anksčiau nei 2022 m. gruodžio 13 d.</w:t>
                                          </w:r>
                                        </w:p>
                                      </w:tc>
                                    </w:tr>
                                  </w:tbl>
                                  <w:p w14:paraId="28AB9145" w14:textId="77777777" w:rsidR="00145490" w:rsidRDefault="00145490" w:rsidP="003A643E">
                                    <w:pPr>
                                      <w:jc w:val="both"/>
                                    </w:pPr>
                                  </w:p>
                                </w:tc>
                              </w:tr>
                            </w:tbl>
                            <w:p w14:paraId="2A027007" w14:textId="77777777" w:rsidR="00145490" w:rsidRDefault="00145490" w:rsidP="003A643E">
                              <w:pPr>
                                <w:jc w:val="both"/>
                              </w:pPr>
                            </w:p>
                          </w:tc>
                        </w:tr>
                        <w:tr w:rsidR="00145490" w14:paraId="05D42553"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45490" w14:paraId="427A1F83" w14:textId="77777777">
                                <w:trPr>
                                  <w:trHeight w:val="340"/>
                                </w:trPr>
                                <w:tc>
                                  <w:tcPr>
                                    <w:tcW w:w="9637" w:type="dxa"/>
                                  </w:tcPr>
                                  <w:p w14:paraId="6E4BF29C" w14:textId="77777777" w:rsidR="003A643E" w:rsidRDefault="003A643E"/>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2C52C466" w14:textId="77777777" w:rsidTr="003A643E">
                                      <w:trPr>
                                        <w:trHeight w:val="262"/>
                                      </w:trPr>
                                      <w:tc>
                                        <w:tcPr>
                                          <w:tcW w:w="9606" w:type="dxa"/>
                                        </w:tcPr>
                                        <w:p w14:paraId="531D765E" w14:textId="77777777" w:rsidR="00145490" w:rsidRDefault="007077A5" w:rsidP="003A643E">
                                          <w:pPr>
                                            <w:jc w:val="both"/>
                                          </w:pPr>
                                          <w:r>
                                            <w:rPr>
                                              <w:b/>
                                              <w:color w:val="000000"/>
                                              <w:sz w:val="24"/>
                                            </w:rPr>
                                            <w:t>06.01.03. Uždavinys. Sudaryti sąlygas įsigyti būstą pažeidžiamiausioms gyventojų grupėms</w:t>
                                          </w:r>
                                        </w:p>
                                      </w:tc>
                                    </w:tr>
                                  </w:tbl>
                                  <w:p w14:paraId="7E454522" w14:textId="77777777" w:rsidR="00145490" w:rsidRDefault="00145490" w:rsidP="003A643E">
                                    <w:pPr>
                                      <w:jc w:val="both"/>
                                    </w:pPr>
                                  </w:p>
                                </w:tc>
                              </w:tr>
                              <w:tr w:rsidR="00145490" w14:paraId="60A3F262"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45490" w14:paraId="468675E3" w14:textId="77777777">
                                      <w:trPr>
                                        <w:trHeight w:val="362"/>
                                      </w:trPr>
                                      <w:tc>
                                        <w:tcPr>
                                          <w:tcW w:w="9637" w:type="dxa"/>
                                        </w:tcPr>
                                        <w:p w14:paraId="6217CFA9" w14:textId="77777777" w:rsidR="00145490" w:rsidRDefault="007077A5" w:rsidP="003A643E">
                                          <w:pPr>
                                            <w:jc w:val="both"/>
                                          </w:pPr>
                                          <w:r>
                                            <w:rPr>
                                              <w:color w:val="000000"/>
                                              <w:sz w:val="24"/>
                                            </w:rPr>
                                            <w:t>Viena valstybės paramos formų yra parama būstui, kuria siekiama mažinti gyventojų socialinę atskirtį ir skurdą. Vykdydama tarptautinius įsipareigojimus socialinėje srityje, Lietuva yra įsipareigojusi užtikrinti, kad kiekvienas asmuo, kuris neturi pakankamai lėšų pragyvenimui ir negali gauti jų savo pastangomis ar iš kitų šaltinių, ypač iš socialinės apsaugos sistemos, gautų reikiamą paramą. Lietuvos pažangos strategijoje „Lietuva 2030“ sumanios visuomenės pokyčių kryptyje keliamas tikslas mažinti socialinę atskirtį, kuriant ir įgyvendinant nacionalines skurdo mažinimo programas. Uždaviniu siekiama didinti gyventojų gerovę ir socialinę aprėptį (šalia kitų priemonių) didinant viešųjų paslaugų, būtent būsto pažeidžiamoms gyventojų grupėms, prieinamumą. Lietuvoje teikiama dviejų tipų parama būstui: parama būsto nuomai (čia priklauso ir socialinis būstas) ir parama pirmo būsto įsigijimui.</w:t>
                                          </w:r>
                                        </w:p>
                                      </w:tc>
                                    </w:tr>
                                  </w:tbl>
                                  <w:p w14:paraId="2F656A18" w14:textId="77777777" w:rsidR="00145490" w:rsidRDefault="00145490" w:rsidP="003A643E">
                                    <w:pPr>
                                      <w:jc w:val="both"/>
                                    </w:pPr>
                                  </w:p>
                                </w:tc>
                              </w:tr>
                            </w:tbl>
                            <w:p w14:paraId="0C968760" w14:textId="77777777" w:rsidR="00145490" w:rsidRDefault="00145490" w:rsidP="003A643E">
                              <w:pPr>
                                <w:jc w:val="both"/>
                              </w:pPr>
                            </w:p>
                          </w:tc>
                        </w:tr>
                      </w:tbl>
                      <w:p w14:paraId="36A8A484" w14:textId="77777777" w:rsidR="00145490" w:rsidRDefault="00145490" w:rsidP="003A643E">
                        <w:pPr>
                          <w:jc w:val="both"/>
                        </w:pPr>
                      </w:p>
                    </w:tc>
                  </w:tr>
                  <w:tr w:rsidR="00145490" w14:paraId="637B55CE" w14:textId="77777777">
                    <w:trPr>
                      <w:trHeight w:val="119"/>
                    </w:trPr>
                    <w:tc>
                      <w:tcPr>
                        <w:tcW w:w="9637" w:type="dxa"/>
                      </w:tcPr>
                      <w:p w14:paraId="115ACD1C" w14:textId="77777777" w:rsidR="00145490" w:rsidRDefault="00145490" w:rsidP="003A643E">
                        <w:pPr>
                          <w:jc w:val="both"/>
                        </w:pPr>
                      </w:p>
                    </w:tc>
                  </w:tr>
                </w:tbl>
                <w:p w14:paraId="0DF79C1D" w14:textId="77777777" w:rsidR="00145490" w:rsidRDefault="00145490" w:rsidP="003A643E">
                  <w:pPr>
                    <w:jc w:val="both"/>
                  </w:pPr>
                </w:p>
              </w:tc>
            </w:tr>
          </w:tbl>
          <w:p w14:paraId="2BC5A5CD"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45490" w14:paraId="60ADBEE1"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350DFFD" w14:textId="77777777" w:rsidR="00145490" w:rsidRDefault="007077A5" w:rsidP="003A643E">
                  <w:pPr>
                    <w:jc w:val="both"/>
                  </w:pPr>
                  <w:r>
                    <w:rPr>
                      <w:color w:val="000000"/>
                      <w:sz w:val="24"/>
                    </w:rPr>
                    <w:t>2015–2024 metų Šiaulių miesto strateginio plėtros plano dalys, susijusios su vykdoma programa:</w:t>
                  </w:r>
                  <w:r>
                    <w:rPr>
                      <w:color w:val="000000"/>
                      <w:sz w:val="24"/>
                    </w:rPr>
                    <w:br/>
                    <w:t>3.1.3. Atnaujinti socialinių paslaugų įstaigų pastatus ir plėsti socialinio būsto fondą.</w:t>
                  </w:r>
                </w:p>
              </w:tc>
            </w:tr>
          </w:tbl>
          <w:p w14:paraId="585FEB1A"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45490" w14:paraId="20C083BB"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72CB380F" w14:textId="77777777" w:rsidR="00145490" w:rsidRDefault="007077A5" w:rsidP="003A643E">
                  <w:pPr>
                    <w:jc w:val="both"/>
                  </w:pPr>
                  <w:r>
                    <w:rPr>
                      <w:b/>
                      <w:color w:val="000000"/>
                      <w:sz w:val="24"/>
                    </w:rPr>
                    <w:t>Planuojami programos finansavimo šaltiniai:</w:t>
                  </w:r>
                </w:p>
                <w:p w14:paraId="79327BB3" w14:textId="77777777" w:rsidR="00145490" w:rsidRDefault="007077A5" w:rsidP="003A643E">
                  <w:pPr>
                    <w:jc w:val="both"/>
                  </w:pPr>
                  <w:r>
                    <w:rPr>
                      <w:color w:val="000000"/>
                      <w:sz w:val="24"/>
                    </w:rPr>
                    <w:t>Savivaldybės biudžeto lėšos (SB); Europos Sąjungos lėšos (ES); Valstybės biudžeto lėšos (VB); Lėšų likutis ataskaitinio laikotarpio pabaigoje (LIK); Valstybės biudžeto lėšos KT (VB); Lėšos valstybinėms funkcijoms atlikti VB (VF)</w:t>
                  </w:r>
                </w:p>
              </w:tc>
            </w:tr>
          </w:tbl>
          <w:p w14:paraId="1BA881E2" w14:textId="77777777" w:rsidR="00145490" w:rsidRDefault="00145490"/>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45490" w14:paraId="3CEFEB20"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41A34849" w14:textId="3018F20F" w:rsidR="003A643E" w:rsidRPr="003A643E" w:rsidRDefault="007077A5" w:rsidP="008B3AF9">
                  <w:pPr>
                    <w:jc w:val="both"/>
                    <w:rPr>
                      <w:b/>
                      <w:color w:val="000000"/>
                      <w:sz w:val="24"/>
                    </w:rPr>
                  </w:pPr>
                  <w:r>
                    <w:rPr>
                      <w:b/>
                      <w:color w:val="000000"/>
                      <w:sz w:val="24"/>
                    </w:rPr>
                    <w:t xml:space="preserve">Susiję Lietuvos Respublikos ir savivaldybės teisės aktai: </w:t>
                  </w:r>
                </w:p>
                <w:p w14:paraId="69E31B8B" w14:textId="120CAE44" w:rsidR="003A643E" w:rsidRPr="003A643E" w:rsidRDefault="007077A5" w:rsidP="002E504F">
                  <w:pPr>
                    <w:pStyle w:val="ListParagraph"/>
                    <w:numPr>
                      <w:ilvl w:val="0"/>
                      <w:numId w:val="1"/>
                    </w:numPr>
                    <w:ind w:left="357" w:hanging="357"/>
                    <w:jc w:val="both"/>
                    <w:rPr>
                      <w:color w:val="000000"/>
                      <w:sz w:val="24"/>
                    </w:rPr>
                  </w:pPr>
                  <w:r w:rsidRPr="003A643E">
                    <w:rPr>
                      <w:color w:val="000000"/>
                      <w:sz w:val="24"/>
                    </w:rPr>
                    <w:t>LR vietos savivaldos įstatymas;</w:t>
                  </w:r>
                </w:p>
                <w:p w14:paraId="6E9BF0ED" w14:textId="1C120889" w:rsidR="003A643E" w:rsidRPr="003A643E" w:rsidRDefault="007077A5" w:rsidP="002E504F">
                  <w:pPr>
                    <w:pStyle w:val="ListParagraph"/>
                    <w:numPr>
                      <w:ilvl w:val="0"/>
                      <w:numId w:val="1"/>
                    </w:numPr>
                    <w:ind w:left="357" w:hanging="357"/>
                    <w:jc w:val="both"/>
                    <w:rPr>
                      <w:color w:val="000000"/>
                      <w:sz w:val="24"/>
                    </w:rPr>
                  </w:pPr>
                  <w:r w:rsidRPr="003A643E">
                    <w:rPr>
                      <w:color w:val="000000"/>
                      <w:sz w:val="24"/>
                    </w:rPr>
                    <w:t>LR valstybės ir savivaldybių turto valdymo, naudojimo ir disponavimo juo įstatymas;</w:t>
                  </w:r>
                </w:p>
                <w:p w14:paraId="29707910" w14:textId="5F44E4AD"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LR valstybei ir savivaldybėms priklausančių akcijų privatizavimo įstatymas</w:t>
                  </w:r>
                  <w:r w:rsidR="008B3AF9" w:rsidRPr="008B3AF9">
                    <w:rPr>
                      <w:color w:val="000000"/>
                      <w:sz w:val="24"/>
                    </w:rPr>
                    <w:t>;</w:t>
                  </w:r>
                </w:p>
                <w:p w14:paraId="74A04F59" w14:textId="3174F01E"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LR viešųjų pirkimų įstatymas</w:t>
                  </w:r>
                  <w:r w:rsidR="008B3AF9" w:rsidRPr="008B3AF9">
                    <w:rPr>
                      <w:color w:val="000000"/>
                      <w:sz w:val="24"/>
                    </w:rPr>
                    <w:t>;</w:t>
                  </w:r>
                </w:p>
                <w:p w14:paraId="340239A1" w14:textId="3C039DDB"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paramos būstui įsigyti ar išsinuomoti įstatymas.</w:t>
                  </w:r>
                </w:p>
                <w:p w14:paraId="2520B7D8" w14:textId="0E05A087"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civilinis kodeksas;</w:t>
                  </w:r>
                </w:p>
                <w:p w14:paraId="72254100" w14:textId="207FFC62"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daugiabučių gyvenamųjų namų ir kitos paskirties pastatų savininkų bendrijų įstatymas.</w:t>
                  </w:r>
                </w:p>
                <w:p w14:paraId="06D4087D" w14:textId="251A59B9" w:rsid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valstybės paramos daugiabučiams namams atnaujinti (modernizuoti) įstatymas.</w:t>
                  </w:r>
                </w:p>
                <w:p w14:paraId="35154ED2" w14:textId="6EE14E7D"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Vyriausybės 2015 m. balandžio 15 d. nutarimas Nr. 390 „Dėl butų ir kitų patalpų savininkų lėšų, skiriamų namui (statiniui) atnaujinti pagal privalomuosius statinių naudojimo ir priežiūros reikalavimus, kaupimo, dydžio apskaičiavimo ir sukauptų lėšų apsaugos tvarkos aprašo patvirtinimo“.</w:t>
                  </w:r>
                </w:p>
                <w:p w14:paraId="4C04C568" w14:textId="74423480" w:rsidR="008B3AF9" w:rsidRPr="008B3AF9" w:rsidRDefault="007077A5" w:rsidP="002E504F">
                  <w:pPr>
                    <w:pStyle w:val="ListParagraph"/>
                    <w:numPr>
                      <w:ilvl w:val="0"/>
                      <w:numId w:val="1"/>
                    </w:numPr>
                    <w:ind w:left="357" w:hanging="357"/>
                    <w:jc w:val="both"/>
                    <w:rPr>
                      <w:color w:val="000000"/>
                      <w:sz w:val="24"/>
                    </w:rPr>
                  </w:pPr>
                  <w:r w:rsidRPr="008B3AF9">
                    <w:rPr>
                      <w:color w:val="000000"/>
                      <w:sz w:val="24"/>
                    </w:rPr>
                    <w:lastRenderedPageBreak/>
                    <w:t>Lietuvos Respublikos Vyriausybės 2001 m. liepos 11 d. nutarimas Nr. 876 „Dėl valstybės ir savivaldybių gyvenamųjų patalpų nuomininkų atsiskaitymo už šaltą ir karštą vandenį, elektros energiją, dujas, šiluminę energiją ir komunalines paslaugas tvarkos aprašo patvirtinimo“.</w:t>
                  </w:r>
                </w:p>
                <w:p w14:paraId="20E9AF6F" w14:textId="33356848" w:rsid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Vyriausybės 2019 m. rugpjūčio 28 d. nutarimas Nr. 884 „Dėl Lietuvos Respublikos Vyriausybės 2001 m. balandžio 25 d. nutarimo Nr. 472 „Dėl Savivaldybės būsto, socialinio būsto nuomos mokesčių ir būsto nuomos ar išperkamosios būsto nuomos mokesčių dalies kompensacijos dydžio apskaičiavimo metodikos ir bazinio būsto nuomos ar išperkamosios būsto nuomos mokesčių dalies kompensacijos dydžio perskaičiavimo koeficiento patvirtinimo“ pakeitimo“.</w:t>
                  </w:r>
                </w:p>
                <w:p w14:paraId="4DCAEE84" w14:textId="5279D212" w:rsidR="008B3AF9" w:rsidRDefault="007077A5" w:rsidP="002E504F">
                  <w:pPr>
                    <w:pStyle w:val="ListParagraph"/>
                    <w:numPr>
                      <w:ilvl w:val="0"/>
                      <w:numId w:val="1"/>
                    </w:numPr>
                    <w:ind w:left="357" w:hanging="357"/>
                    <w:jc w:val="both"/>
                    <w:rPr>
                      <w:color w:val="000000"/>
                      <w:sz w:val="24"/>
                    </w:rPr>
                  </w:pPr>
                  <w:r w:rsidRPr="008B3AF9">
                    <w:rPr>
                      <w:color w:val="000000"/>
                      <w:sz w:val="24"/>
                    </w:rPr>
                    <w:t>Lietuvos Respublikos Vyriausybės 2001 m. spalio 19 d. nutarimas Nr. 1250 „Dėl pripažinto nereikalingu arba netinkamu (negalimu) naudoti valstybės ir savivaldybių turto nurašymo, išardymo ir likvidavimo tvarkos aprašo patvirtinimo“.</w:t>
                  </w:r>
                </w:p>
                <w:p w14:paraId="46A18173" w14:textId="0623D848" w:rsidR="00145490" w:rsidRPr="008B3AF9" w:rsidRDefault="007077A5" w:rsidP="002E504F">
                  <w:pPr>
                    <w:pStyle w:val="ListParagraph"/>
                    <w:numPr>
                      <w:ilvl w:val="0"/>
                      <w:numId w:val="1"/>
                    </w:numPr>
                    <w:ind w:left="357" w:hanging="357"/>
                    <w:jc w:val="both"/>
                    <w:rPr>
                      <w:color w:val="000000"/>
                      <w:sz w:val="24"/>
                    </w:rPr>
                  </w:pPr>
                  <w:r w:rsidRPr="008B3AF9">
                    <w:rPr>
                      <w:color w:val="000000"/>
                      <w:sz w:val="24"/>
                    </w:rPr>
                    <w:t>2015–2024 m. Šiaulių m. strateginis plėtros planas ir kt.</w:t>
                  </w:r>
                </w:p>
              </w:tc>
            </w:tr>
          </w:tbl>
          <w:p w14:paraId="5B1BF600" w14:textId="77777777" w:rsidR="00145490" w:rsidRDefault="00145490"/>
          <w:p w14:paraId="5AB953DC" w14:textId="77777777" w:rsidR="00145490" w:rsidRDefault="00145490"/>
        </w:tc>
      </w:tr>
    </w:tbl>
    <w:p w14:paraId="46C2D2CA" w14:textId="03FFF479" w:rsidR="00145490" w:rsidRDefault="00145490">
      <w:pPr>
        <w:rPr>
          <w:sz w:val="0"/>
        </w:rPr>
      </w:pPr>
    </w:p>
    <w:sectPr w:rsidR="00145490">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302B5E"/>
    <w:multiLevelType w:val="hybridMultilevel"/>
    <w:tmpl w:val="170A641C"/>
    <w:lvl w:ilvl="0" w:tplc="FA60C2B8">
      <w:start w:val="1"/>
      <w:numFmt w:val="decimal"/>
      <w:lvlText w:val="%1."/>
      <w:lvlJc w:val="left"/>
      <w:pPr>
        <w:ind w:left="720" w:hanging="360"/>
      </w:pPr>
      <w:rPr>
        <w:rFonts w:ascii="Times New Roman" w:eastAsia="Times New Roman" w:hAnsi="Times New Roman" w:cs="Mang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490"/>
    <w:rsid w:val="00145490"/>
    <w:rsid w:val="002C2680"/>
    <w:rsid w:val="002E504F"/>
    <w:rsid w:val="003A643E"/>
    <w:rsid w:val="00474948"/>
    <w:rsid w:val="007077A5"/>
    <w:rsid w:val="008B3AF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B2FDF"/>
  <w15:docId w15:val="{80FC7E3B-C25E-4992-AAA6-9F966E96F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3A643E"/>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4142</Words>
  <Characters>2361</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7</cp:revision>
  <dcterms:created xsi:type="dcterms:W3CDTF">2021-12-13T11:24:00Z</dcterms:created>
  <dcterms:modified xsi:type="dcterms:W3CDTF">2021-12-22T05:52:00Z</dcterms:modified>
  <dc:language>lt-LT</dc:language>
</cp:coreProperties>
</file>