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0DE5" w14:textId="77777777" w:rsidR="008A018E" w:rsidRDefault="008A018E" w:rsidP="008A018E">
      <w:pPr>
        <w:spacing w:after="0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miesto savivaldybės</w:t>
      </w:r>
    </w:p>
    <w:p w14:paraId="7F89E97D" w14:textId="6B4216BC" w:rsidR="008A018E" w:rsidRDefault="008A018E" w:rsidP="008A018E">
      <w:pPr>
        <w:spacing w:after="0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bendrojo ugdymo mokyklų tinklo pertvarkos</w:t>
      </w:r>
    </w:p>
    <w:p w14:paraId="1319BEFB" w14:textId="782A9C56" w:rsidR="008A018E" w:rsidRDefault="008A018E" w:rsidP="008A018E">
      <w:pPr>
        <w:spacing w:after="0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2026–2030 metų bendrojo plano</w:t>
      </w:r>
    </w:p>
    <w:p w14:paraId="6E2DAE5E" w14:textId="2C09E819" w:rsidR="006E19DB" w:rsidRDefault="002037D0" w:rsidP="008A018E">
      <w:pPr>
        <w:ind w:firstLine="9923"/>
        <w:rPr>
          <w:rFonts w:ascii="Times New Roman" w:hAnsi="Times New Roman" w:cs="Times New Roman"/>
          <w:sz w:val="24"/>
          <w:szCs w:val="24"/>
        </w:rPr>
      </w:pPr>
      <w:r w:rsidRPr="002037D0">
        <w:rPr>
          <w:rFonts w:ascii="Times New Roman" w:hAnsi="Times New Roman" w:cs="Times New Roman"/>
          <w:sz w:val="24"/>
          <w:szCs w:val="24"/>
        </w:rPr>
        <w:t>1 priedas</w:t>
      </w:r>
    </w:p>
    <w:p w14:paraId="7739FE27" w14:textId="77777777" w:rsidR="00AC72BE" w:rsidRPr="002037D0" w:rsidRDefault="00AC72BE" w:rsidP="00AC72BE">
      <w:pPr>
        <w:spacing w:after="0"/>
        <w:ind w:firstLine="9923"/>
        <w:rPr>
          <w:rFonts w:ascii="Times New Roman" w:hAnsi="Times New Roman" w:cs="Times New Roman"/>
          <w:sz w:val="24"/>
          <w:szCs w:val="24"/>
        </w:rPr>
      </w:pPr>
    </w:p>
    <w:p w14:paraId="0AD02DCA" w14:textId="77777777" w:rsidR="009C2BC8" w:rsidRDefault="008A018E" w:rsidP="009C2B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SAVIVALDYBĖS BENDROJO UGDYMO MOKYKLŲ TINKLO PERTVARKOS PLANO 2021–2025 METŲ </w:t>
      </w:r>
    </w:p>
    <w:p w14:paraId="3B3FBFA0" w14:textId="121A0220" w:rsidR="00D22E40" w:rsidRPr="002037D0" w:rsidRDefault="008D33CB" w:rsidP="009C2B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7D0">
        <w:rPr>
          <w:rFonts w:ascii="Times New Roman" w:hAnsi="Times New Roman" w:cs="Times New Roman"/>
          <w:b/>
          <w:bCs/>
          <w:sz w:val="24"/>
          <w:szCs w:val="24"/>
        </w:rPr>
        <w:t xml:space="preserve">PAGRINDINIŲ REZULTATŲ </w:t>
      </w:r>
      <w:r w:rsidR="00914808" w:rsidRPr="002037D0">
        <w:rPr>
          <w:rFonts w:ascii="Times New Roman" w:hAnsi="Times New Roman" w:cs="Times New Roman"/>
          <w:b/>
          <w:bCs/>
          <w:sz w:val="24"/>
          <w:szCs w:val="24"/>
        </w:rPr>
        <w:t xml:space="preserve">RODIKLIŲ </w:t>
      </w:r>
      <w:r w:rsidRPr="002037D0">
        <w:rPr>
          <w:rFonts w:ascii="Times New Roman" w:hAnsi="Times New Roman" w:cs="Times New Roman"/>
          <w:b/>
          <w:bCs/>
          <w:sz w:val="24"/>
          <w:szCs w:val="24"/>
        </w:rPr>
        <w:t>ĮVERTINIMAS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5"/>
        <w:gridCol w:w="4109"/>
        <w:gridCol w:w="4147"/>
        <w:gridCol w:w="2373"/>
        <w:gridCol w:w="2376"/>
      </w:tblGrid>
      <w:tr w:rsidR="006325A8" w:rsidRPr="002037D0" w14:paraId="0E78F786" w14:textId="0B44EB1D" w:rsidTr="002545E0">
        <w:trPr>
          <w:cantSplit/>
        </w:trPr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3591" w14:textId="77777777" w:rsidR="006325A8" w:rsidRPr="002037D0" w:rsidRDefault="006325A8" w:rsidP="00584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44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629E" w14:textId="29D1D363" w:rsidR="006325A8" w:rsidRPr="002037D0" w:rsidRDefault="006325A8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b/>
                <w:sz w:val="24"/>
                <w:szCs w:val="24"/>
              </w:rPr>
              <w:t>Pagrindiniai rezultatų rodikliai</w:t>
            </w:r>
          </w:p>
        </w:tc>
      </w:tr>
      <w:tr w:rsidR="003679BB" w:rsidRPr="002037D0" w14:paraId="63E4D5F6" w14:textId="06603240" w:rsidTr="002545E0">
        <w:trPr>
          <w:cantSplit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C92E4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0C0B" w14:textId="77777777" w:rsidR="003679BB" w:rsidRPr="002037D0" w:rsidRDefault="003679BB" w:rsidP="00584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b/>
                <w:sz w:val="24"/>
                <w:szCs w:val="24"/>
              </w:rPr>
              <w:t>2020 m.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EC52" w14:textId="77777777" w:rsidR="003679BB" w:rsidRPr="002037D0" w:rsidRDefault="003679BB" w:rsidP="00584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b/>
                <w:sz w:val="24"/>
                <w:szCs w:val="24"/>
              </w:rPr>
              <w:t>2025 m.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BEFA" w14:textId="745BC7B9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b/>
                <w:sz w:val="24"/>
                <w:szCs w:val="24"/>
              </w:rPr>
              <w:t>2025 m. (faktas)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75A0" w14:textId="1FB6142C" w:rsidR="003679BB" w:rsidRPr="002037D0" w:rsidRDefault="003679BB" w:rsidP="006325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b/>
                <w:sz w:val="24"/>
                <w:szCs w:val="24"/>
              </w:rPr>
              <w:t>Įvertinimas</w:t>
            </w:r>
          </w:p>
        </w:tc>
      </w:tr>
      <w:tr w:rsidR="003679BB" w:rsidRPr="002037D0" w14:paraId="49BC218A" w14:textId="15D153B1" w:rsidTr="002545E0">
        <w:trPr>
          <w:cantSplit/>
          <w:trHeight w:val="185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125D7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Efektyvi švietimo įstaigų veikla ir racionalus lėšų panaudojimas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A364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1. Juridinių asmenų skaičius – 32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F796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1. Juridinių asmenų skaičius – 30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BD31" w14:textId="1752F031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7B9A" w14:textId="15BA9A49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EE1CED" w:rsidRPr="002037D0" w14:paraId="54D474C2" w14:textId="678695AA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F8220" w14:textId="77777777" w:rsidR="00EE1CED" w:rsidRPr="002037D0" w:rsidRDefault="00EE1CED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DB0B" w14:textId="77777777" w:rsidR="00EE1CED" w:rsidRPr="002037D0" w:rsidRDefault="00EE1CED" w:rsidP="00E750C1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right" w:pos="3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Klasių (neįskaičiuotos jaunimo, suaugusiųjų ir specialiųjų mokyklų klasės), kuriose sąlyginės klasės dydis atitinka Mokymo lėšų rodiklius, dalis:</w:t>
            </w:r>
          </w:p>
        </w:tc>
        <w:tc>
          <w:tcPr>
            <w:tcW w:w="3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88FB" w14:textId="0DB9349C" w:rsidR="00EE1CED" w:rsidRPr="002037D0" w:rsidRDefault="00EE1CED" w:rsidP="00EE1CED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 Klasių (neįskaičiuotos suaugusiųjų ir specialiųjų mokyklų klasės), kuriose sąlyginės klasės dydis atitinka Mokymo lėšų rodiklius, dalis:</w:t>
            </w:r>
          </w:p>
        </w:tc>
      </w:tr>
      <w:tr w:rsidR="003679BB" w:rsidRPr="002037D0" w14:paraId="4099A1E7" w14:textId="7B1BC013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90151C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BCD2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2.1. 0 proc. bendrojo ugdymo mokyklų 1–8 klasių komplektų, kurie yra jungtiniai 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A29F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2.1. 0 proc. bendrojo ugdymo mokyklų 1–8 klasių komplektų, kurie yra jungtiniai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8070" w14:textId="04F4A4F8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9043" w14:textId="560B975C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3679BB" w:rsidRPr="002037D0" w14:paraId="6A0243F1" w14:textId="2E3F41D1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4E339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E669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2.2. 0 proc. klasių komplektų, kuriuose yra mažiau kaip 8 mokiniai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8C8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2.2. 0 proc. klasių komplektų, kuriuose yra mažiau kaip 8 mokiniai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7B2" w14:textId="739A6DC9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2EC" w14:textId="2FBA3006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  <w:r w:rsidR="00BC2B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75C2A">
              <w:rPr>
                <w:rFonts w:ascii="Times New Roman" w:hAnsi="Times New Roman" w:cs="Times New Roman"/>
                <w:sz w:val="24"/>
                <w:szCs w:val="24"/>
              </w:rPr>
              <w:t>neįskaičiuojant „</w:t>
            </w:r>
            <w:r w:rsidR="00BC2B49">
              <w:rPr>
                <w:rFonts w:ascii="Times New Roman" w:hAnsi="Times New Roman" w:cs="Times New Roman"/>
                <w:sz w:val="24"/>
                <w:szCs w:val="24"/>
              </w:rPr>
              <w:t>Sandoros“ progimnazijos nuotolinių klasių)</w:t>
            </w:r>
          </w:p>
        </w:tc>
      </w:tr>
      <w:tr w:rsidR="003679BB" w:rsidRPr="002037D0" w14:paraId="4AEC0F50" w14:textId="095EA2F7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552BC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DC80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2.3. 91,9 proc. naujai komplektuojamų bendrosios paskirties 1–4 klasių komplektų, kuriuose yra ne daugiau kaip 24 mokiniai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EB0C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2.3. 100 proc. 1–4 klasių komplektų, kuriuose yra ne daugiau kaip 24 mokiniai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5C67" w14:textId="5D3DFCF0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9F4C" w14:textId="31FD95EF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3679BB" w:rsidRPr="002037D0" w14:paraId="47CDA539" w14:textId="7651D79C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455BD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2027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2.4. 100 proc. 5–8 klasių komplektų, kuriuose yra ne daugiau kaip 30 mokinių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78F9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2.4. 100 proc. 5–8 klasių komplektų, kuriuose yra ne daugiau kaip 30 mokinių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7AC9" w14:textId="4ED3432D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73EF" w14:textId="792C426F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3679BB" w:rsidRPr="002037D0" w14:paraId="0C361794" w14:textId="17715FD5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86176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B8F7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2.5. 100 proc. 9 (I gimn.) – 10 (II gimn.) klasių komplektų, kuriuose yra ne daugiau kaip 30 mokinių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86A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2.5. 100 proc. 9 (I gimn.) – 10 (II gimn.) klasių komplektų, kuriuose yra ne daugiau kaip 30 mokinių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5DC9" w14:textId="1ECC6F50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3735" w14:textId="7A1B0218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3679BB" w:rsidRPr="002037D0" w14:paraId="0601CCAB" w14:textId="1930DB60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33DAB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85BD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2.6. 100 proc. III–IV gimnazijos klasių komplektų, kuriuose yra ne daugiau kaip 30 mokinių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7B7A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2.6. 100 proc. III–IV gimnazijos klasių komplektų, kuriuose yra ne daugiau kaip 30 mokinių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91C" w14:textId="2A1D934C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B3BE" w14:textId="3A20098C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FC6071" w:rsidRPr="002037D0" w14:paraId="46E51608" w14:textId="3968268A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56B54" w14:textId="77777777" w:rsidR="00FC6071" w:rsidRPr="002037D0" w:rsidRDefault="00FC6071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39A0" w14:textId="77777777" w:rsidR="00FC6071" w:rsidRPr="002037D0" w:rsidRDefault="00FC6071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2.7. klasių, atitinkančių didelės klasės sąlyginį mokinių skaičių, dalis: </w:t>
            </w:r>
          </w:p>
        </w:tc>
        <w:tc>
          <w:tcPr>
            <w:tcW w:w="3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3D8C" w14:textId="56DAF9A0" w:rsidR="00FC6071" w:rsidRPr="002037D0" w:rsidRDefault="00FC6071" w:rsidP="00FC6071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2.7. klasių, atitinkančių didelės klasės sąlyginį mokinių skaičių, dalis: </w:t>
            </w:r>
          </w:p>
        </w:tc>
      </w:tr>
      <w:tr w:rsidR="003679BB" w:rsidRPr="002037D0" w14:paraId="36250B57" w14:textId="3D95044B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B0593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BBFC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2.7.1. 78,4 proc. 1–4 klasių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7561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2.7.1. 90 proc. 1–4 klasių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9458" w14:textId="7CE0DC22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8265" w14:textId="1EE108EC" w:rsidR="003679BB" w:rsidRPr="0041252C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52C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</w:tc>
      </w:tr>
      <w:tr w:rsidR="003679BB" w:rsidRPr="002037D0" w14:paraId="2D3BB495" w14:textId="5EE12BAA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30E13F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0327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2.7.2. 88,1 proc. 5–8 klasių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E421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2.7.2. 95 proc. 5–8 klasių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FAFE" w14:textId="3EB4122C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73,6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03D4" w14:textId="7AB22276" w:rsidR="003679BB" w:rsidRPr="0041252C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52C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</w:tc>
      </w:tr>
      <w:tr w:rsidR="003679BB" w:rsidRPr="002037D0" w14:paraId="7BD91FFC" w14:textId="7B80CB81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B95DD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220B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2.7.3. 97,4 proc. 9 (I gimn.) – 10 (II gimn.) klasių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2E9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2.7.3. 100 proc. 9 (I gimn.) – 10 (II gimn.) klasių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2361" w14:textId="76273CB1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EDC" w14:textId="7CDE6413" w:rsidR="003679BB" w:rsidRPr="0041252C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52C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3679BB" w:rsidRPr="002037D0" w14:paraId="36E438A4" w14:textId="47088F4D" w:rsidTr="002545E0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D015A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CECF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2.7.4. 97,3 proc. III–IV gimn. klasių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B15F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2.7.4. 100 proc. III–IV gimn. klasių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FDB" w14:textId="7E79F2DE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95,6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4B59" w14:textId="4014E693" w:rsidR="003679BB" w:rsidRPr="0041252C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52C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</w:tc>
      </w:tr>
      <w:tr w:rsidR="003679BB" w:rsidRPr="002037D0" w14:paraId="1AE5F8B8" w14:textId="584D6F05" w:rsidTr="00772015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DCF15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3ADC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3. Vienai sąlyginei mokytojo pareigybei tenkančių mokinių skaičius – 12,1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8DC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Vienai sąlyginei mokytojo pareigybei tenkančių mokinių skaičius – 12,24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1E16" w14:textId="2BA79113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FCEB" w14:textId="0A60D696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2159CA2C" w14:textId="46FB7EA4" w:rsidTr="00772015">
        <w:trPr>
          <w:cantSplit/>
          <w:trHeight w:val="185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3788C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45432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4. 43 proc. mokyklų įdiegta kokybės vadybos sistema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EEAFD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4. 90 proc. mokyklų įdiegta kokybės vadybos sistema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0590" w14:textId="33E28A37" w:rsidR="003679BB" w:rsidRPr="002037D0" w:rsidRDefault="008F5F35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6270E" w14:textId="497347F2" w:rsidR="003679BB" w:rsidRPr="002037D0" w:rsidRDefault="008F5F35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1840A339" w14:textId="6D8516E1" w:rsidTr="00772015">
        <w:trPr>
          <w:cantSplit/>
          <w:trHeight w:val="649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DC0CC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9F82D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5. 66 proc. mokyklų pakanka mokymo lėšų ugdymo procesui organizuoti ir valdyti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29450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5. 85 proc. mokyklų pakanka mokymo lėšų ugdymo procesui organizuoti ir valdyti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04DAD" w14:textId="03F9CB67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90 proc.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BAAEE" w14:textId="362CF885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3C1F1E59" w14:textId="1169233D" w:rsidTr="002545E0">
        <w:trPr>
          <w:cantSplit/>
          <w:trHeight w:val="649"/>
        </w:trPr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27EB4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836D52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–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05C9E5" w14:textId="77777777" w:rsidR="003679BB" w:rsidRPr="002037D0" w:rsidRDefault="003679BB" w:rsidP="00584B4E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Panaudojama ne mažiau kaip 95 proc. Šiaulių miesto savivaldybės Kultūros krepšelio lėšų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89703A" w14:textId="30B75AE7" w:rsidR="003679BB" w:rsidRPr="002037D0" w:rsidRDefault="003679BB" w:rsidP="00E750C1">
            <w:pPr>
              <w:widowControl w:val="0"/>
              <w:tabs>
                <w:tab w:val="righ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99,8 proc.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79862C" w14:textId="7CD3C994" w:rsidR="003679BB" w:rsidRPr="002037D0" w:rsidRDefault="003679BB" w:rsidP="00E5034C">
            <w:pPr>
              <w:widowControl w:val="0"/>
              <w:tabs>
                <w:tab w:val="right" w:pos="1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6AD73225" w14:textId="161D0381" w:rsidTr="002545E0">
        <w:trPr>
          <w:cantSplit/>
          <w:trHeight w:val="1112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DC131A" w14:textId="77777777" w:rsidR="003679BB" w:rsidRPr="002037D0" w:rsidRDefault="003679BB" w:rsidP="00584B4E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Užtikrinama mokinių, turinčių specialiųjų ugdymosi poreikių, ir socialiai jautrių grupių </w:t>
            </w:r>
            <w:proofErr w:type="spellStart"/>
            <w:r w:rsidRPr="002037D0">
              <w:rPr>
                <w:rFonts w:ascii="Times New Roman" w:eastAsia="Times New Roman" w:hAnsi="Times New Roman" w:cs="Times New Roman"/>
                <w:sz w:val="24"/>
                <w:szCs w:val="24"/>
              </w:rPr>
              <w:t>įtrauktis</w:t>
            </w:r>
            <w:proofErr w:type="spellEnd"/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58CF5" w14:textId="29A7557B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7. Mokinių, kuriems nustatyti specialieji ugdymosi poreikiai ir kurie mokyklose gauna reikiamą pagalbą, dalis – 100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D7BE7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7. Mokinių, kuriems nustatyti specialieji ugdymosi poreikiai ir kurie mokyklose gauna reikiamą pagalbą, dalis – 100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8EC70" w14:textId="4DB26121" w:rsidR="003679BB" w:rsidRPr="002037D0" w:rsidRDefault="00735DC5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679BB"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C2435" w14:textId="2DCD13A7" w:rsidR="003679BB" w:rsidRPr="002037D0" w:rsidRDefault="00115BCA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Pasiektas, tačiau dėl </w:t>
            </w:r>
            <w:r w:rsidR="00D23C73">
              <w:rPr>
                <w:rFonts w:ascii="Times New Roman" w:hAnsi="Times New Roman" w:cs="Times New Roman"/>
                <w:sz w:val="24"/>
                <w:szCs w:val="24"/>
              </w:rPr>
              <w:t xml:space="preserve">techninių trikdžių suvedant </w:t>
            </w:r>
            <w:r w:rsidR="003679BB" w:rsidRPr="002037D0">
              <w:rPr>
                <w:rFonts w:ascii="Times New Roman" w:hAnsi="Times New Roman" w:cs="Times New Roman"/>
                <w:sz w:val="24"/>
                <w:szCs w:val="24"/>
              </w:rPr>
              <w:t>duomen</w:t>
            </w:r>
            <w:r w:rsidR="00D23C73">
              <w:rPr>
                <w:rFonts w:ascii="Times New Roman" w:hAnsi="Times New Roman" w:cs="Times New Roman"/>
                <w:sz w:val="24"/>
                <w:szCs w:val="24"/>
              </w:rPr>
              <w:t>is M</w:t>
            </w:r>
            <w:r w:rsidR="002602A3">
              <w:rPr>
                <w:rFonts w:ascii="Times New Roman" w:hAnsi="Times New Roman" w:cs="Times New Roman"/>
                <w:sz w:val="24"/>
                <w:szCs w:val="24"/>
              </w:rPr>
              <w:t>okinių registre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informacija fiksuota neteisingai</w:t>
            </w:r>
            <w:r w:rsidR="00735DC5">
              <w:rPr>
                <w:rFonts w:ascii="Times New Roman" w:hAnsi="Times New Roman" w:cs="Times New Roman"/>
                <w:sz w:val="24"/>
                <w:szCs w:val="24"/>
              </w:rPr>
              <w:t xml:space="preserve"> – 98,5 proc. (ŠVIS)</w:t>
            </w:r>
          </w:p>
        </w:tc>
      </w:tr>
      <w:tr w:rsidR="003679BB" w:rsidRPr="002037D0" w14:paraId="1FDFB4F4" w14:textId="3CA5F5DF" w:rsidTr="002545E0">
        <w:trPr>
          <w:cantSplit/>
          <w:trHeight w:val="334"/>
        </w:trPr>
        <w:tc>
          <w:tcPr>
            <w:tcW w:w="5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B9E7D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14BA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8. Švietimo pagalbos specialistų, tenkančių 100 mokinių, skaičius – 0,7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BF5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8. Švietimo pagalbos specialistų, tenkančių 100 mokinių, skaičius – ne mažiau kaip 1,0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F47" w14:textId="006F4C5B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4627" w14:textId="71475069" w:rsidR="003679BB" w:rsidRPr="002037D0" w:rsidRDefault="00A921F6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4B42C272" w14:textId="484E0D5A" w:rsidTr="002545E0">
        <w:trPr>
          <w:cantSplit/>
          <w:trHeight w:val="563"/>
        </w:trPr>
        <w:tc>
          <w:tcPr>
            <w:tcW w:w="5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DA8CB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14E6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–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9E3BE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9. Specialiųjų ugdymosi poreikių turinčių mokinių lankomumo pagerėjimas – 5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31433" w14:textId="19FD62CF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5,8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2FE99" w14:textId="558809B1" w:rsidR="003679BB" w:rsidRPr="002037D0" w:rsidRDefault="00A921F6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42FFBD98" w14:textId="71CE29AB" w:rsidTr="00CD25ED">
        <w:trPr>
          <w:cantSplit/>
          <w:trHeight w:val="276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1C2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eastAsia="Times New Roman" w:hAnsi="Times New Roman" w:cs="Times New Roman"/>
                <w:sz w:val="24"/>
                <w:szCs w:val="24"/>
              </w:rPr>
              <w:t>Įvairus ir kokybiškas ugdymas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5413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–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0D7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10. Integruotų pamokų dalis – 15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E35E" w14:textId="35B73DC9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17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6927" w14:textId="21EFCF57" w:rsidR="003679BB" w:rsidRPr="002037D0" w:rsidRDefault="00A921F6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2246526E" w14:textId="55CBC386" w:rsidTr="002545E0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2DD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6FF8A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–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1025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11. 7–12 kl. „Tūkstantmečio mokyklų“ mokinių, kurie turi galimybes dalyvauti praktinėse pamokose laboratorijose ne rečiau kaip 1 kartą per mėn., dalis – 100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B514" w14:textId="649BFE73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91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DB07" w14:textId="31FBFF70" w:rsidR="003679BB" w:rsidRPr="002037D0" w:rsidRDefault="00A921F6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nepasiektas (Stasio Šalkauskio </w:t>
            </w:r>
            <w:r w:rsidR="00972630">
              <w:rPr>
                <w:rFonts w:ascii="Times New Roman" w:hAnsi="Times New Roman" w:cs="Times New Roman"/>
                <w:sz w:val="24"/>
                <w:szCs w:val="24"/>
              </w:rPr>
              <w:t xml:space="preserve">gimnazijoje </w:t>
            </w: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ir Universitetinėje gimnazijoje </w:t>
            </w:r>
            <w:r w:rsidR="00D91E0D" w:rsidRPr="002037D0">
              <w:rPr>
                <w:rFonts w:ascii="Times New Roman" w:hAnsi="Times New Roman" w:cs="Times New Roman"/>
                <w:sz w:val="24"/>
                <w:szCs w:val="24"/>
              </w:rPr>
              <w:t>nebuvo baigtas</w:t>
            </w: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laboratorijų įrengimas</w:t>
            </w:r>
            <w:r w:rsidR="006D0872">
              <w:rPr>
                <w:rFonts w:ascii="Times New Roman" w:hAnsi="Times New Roman" w:cs="Times New Roman"/>
                <w:sz w:val="24"/>
                <w:szCs w:val="24"/>
              </w:rPr>
              <w:t xml:space="preserve">, nes </w:t>
            </w:r>
            <w:r w:rsidR="00972630">
              <w:rPr>
                <w:rFonts w:ascii="Times New Roman" w:hAnsi="Times New Roman" w:cs="Times New Roman"/>
                <w:sz w:val="24"/>
                <w:szCs w:val="24"/>
              </w:rPr>
              <w:t xml:space="preserve">TŪM </w:t>
            </w:r>
            <w:r w:rsidR="006D0872">
              <w:rPr>
                <w:rFonts w:ascii="Times New Roman" w:hAnsi="Times New Roman" w:cs="Times New Roman"/>
                <w:sz w:val="24"/>
                <w:szCs w:val="24"/>
              </w:rPr>
              <w:t xml:space="preserve">projekto įgyvendinimo laikotarpis </w:t>
            </w:r>
            <w:r w:rsidR="0062258A">
              <w:rPr>
                <w:rFonts w:ascii="Times New Roman" w:hAnsi="Times New Roman" w:cs="Times New Roman"/>
                <w:sz w:val="24"/>
                <w:szCs w:val="24"/>
              </w:rPr>
              <w:t xml:space="preserve">ESFA sutikimu </w:t>
            </w:r>
            <w:r w:rsidR="006D0872">
              <w:rPr>
                <w:rFonts w:ascii="Times New Roman" w:hAnsi="Times New Roman" w:cs="Times New Roman"/>
                <w:sz w:val="24"/>
                <w:szCs w:val="24"/>
              </w:rPr>
              <w:t>buvo pratęstas iki 2026-04-30</w:t>
            </w: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79BB" w:rsidRPr="002037D0" w14:paraId="7A82C8C2" w14:textId="25974BE0" w:rsidTr="002545E0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0A84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171DF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–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50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12. Netradicinėse kultūrinėse erdvėse (ne klasėje) vedamų integruotų pamokų dalis – 5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350B" w14:textId="5BBDAF2B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7,3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89EC" w14:textId="123D28DE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7B6B25C3" w14:textId="0525E965" w:rsidTr="002545E0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A70D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158D8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–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1603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13. Mokytojų, kartą per pusmetį vedančių pamokas kitų mokyklų mokytojams, dalis – 25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DD68" w14:textId="76584D3B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38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862F" w14:textId="1F0D7501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37BDC9C3" w14:textId="76637F47" w:rsidTr="002545E0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9E47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8EE1F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–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FD6C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14. Mokytojų, kartą per pusmetį stebinčių kitų mokyklų mokytojų vedamas pamokas, dalis – 25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16E5" w14:textId="2F56AF2B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35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E90" w14:textId="5E017CF8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FC6071" w:rsidRPr="002037D0" w14:paraId="34A7F8B1" w14:textId="1FFF4940" w:rsidTr="002545E0">
        <w:trPr>
          <w:cantSplit/>
          <w:trHeight w:val="575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A28" w14:textId="77777777" w:rsidR="00FC6071" w:rsidRPr="002037D0" w:rsidRDefault="00FC6071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21B9E" w14:textId="77777777" w:rsidR="00FC6071" w:rsidRPr="002037D0" w:rsidRDefault="00FC6071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15. Mokinių dalyvavimas neformaliojo švietimo veiklose:</w:t>
            </w:r>
          </w:p>
        </w:tc>
        <w:tc>
          <w:tcPr>
            <w:tcW w:w="3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D50C" w14:textId="1EEFE403" w:rsidR="00FC6071" w:rsidRPr="002037D0" w:rsidRDefault="00FC6071" w:rsidP="00FC607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15. Mokinių dalyvavimas neformaliojo švietimo veiklose:</w:t>
            </w:r>
          </w:p>
        </w:tc>
      </w:tr>
      <w:tr w:rsidR="003679BB" w:rsidRPr="002037D0" w14:paraId="03201B25" w14:textId="515EFB0F" w:rsidTr="002545E0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8EE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524901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15.1. 90 proc. mokinių dalyvauja neformaliojo švietimo veiklose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7D55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15.1. ne mažiau kaip 90 proc. mokinių dalyvauja neformaliojo švietimo veiklose (mokyklų duomenys);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8049" w14:textId="77777777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pavaldumo:</w:t>
            </w:r>
          </w:p>
          <w:p w14:paraId="42184611" w14:textId="323CA3D2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91,4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5626" w14:textId="4F1CC2E6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1DBD4F56" w14:textId="773FD8A0" w:rsidTr="002545E0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830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B29053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BB6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15.2. mokyklos būrelius lankančių mokinių dalis – ne mažiau kaip 70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EE1" w14:textId="77777777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pavaldumo:</w:t>
            </w:r>
          </w:p>
          <w:p w14:paraId="40C34EF0" w14:textId="4E7DAA33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78,8 proc. (2025 m. spalio 1 d. ŠVIS duomenys)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76BF" w14:textId="1193CA7C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7B6D7D69" w14:textId="60E66AB5" w:rsidTr="00E97B09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65D2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3E485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9F7E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15.3. ne mažiau kaip 75 proc. mokinių dalyvauja neformaliojo švietimo veiklose (ŠVIS duomenys)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F4B5" w14:textId="77777777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pavaldumo:</w:t>
            </w:r>
          </w:p>
          <w:p w14:paraId="791F6DCB" w14:textId="1F7A38F9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84,4 proc. (2025 m. spalio 1 d. ŠVIS duomenys)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C1F" w14:textId="639977BF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3F4935C0" w14:textId="2EDE66FD" w:rsidTr="00E97B09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0C7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3410B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16. 85 proc. mokinių padarė ugdymosi pažangą*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3192A" w14:textId="28187086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16. 90 proc. mokinių padarė ugdymosi pažangą </w:t>
            </w: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(lietuvių k., matematika)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2163E" w14:textId="3816ED16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Lietuvių k. ir literatūra – 82,9 proc.</w:t>
            </w:r>
          </w:p>
          <w:p w14:paraId="0D3AE1CD" w14:textId="33118829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Matematika – 80,6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1B475" w14:textId="1F0BF08F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</w:tc>
      </w:tr>
      <w:tr w:rsidR="003679BB" w:rsidRPr="002037D0" w14:paraId="68AEE0A6" w14:textId="1914ADFE" w:rsidTr="00E97B09">
        <w:trPr>
          <w:cantSplit/>
          <w:trHeight w:val="56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EA40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AA1D7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BA68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 Pagrindinio ugdymo pasiekimų patikrinimo metu bent pagrindinį lietuvių kalbos mokymosi pasiekimų lygį (įvertinti 6–10 balų) pasiekusių mokinių dalis – 71 proc.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F97F" w14:textId="48C8318C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78,9 proc. (ŠVIS duomenys)</w:t>
            </w:r>
          </w:p>
          <w:p w14:paraId="28390C8B" w14:textId="6CA4EA97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B9AC" w14:textId="23D98AC7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07C97028" w14:textId="11D6D181" w:rsidTr="002545E0">
        <w:trPr>
          <w:cantSplit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B57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0A35D3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27D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Pagrindinio ugdymo pasiekimų patikrinimo metu bent pagrindinį matematikos mokymosi pasiekimų lygį (įvertinti 6–10 balų) pasiekusių mokinių dalis – </w:t>
            </w: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27,84 </w:t>
            </w:r>
            <w:r w:rsidRPr="0020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86A" w14:textId="59D18DF2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66,8 proc. (ŠVIS duomenys)</w:t>
            </w:r>
          </w:p>
          <w:p w14:paraId="1A32950D" w14:textId="2815F000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096B" w14:textId="19C84430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7CC3E35D" w14:textId="42E6399E" w:rsidTr="002545E0">
        <w:trPr>
          <w:cantSplit/>
          <w:trHeight w:val="763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15F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E951D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19. Pagrindinio ugdymo pasiekimų patikrinimo metu šalies vidurkį pasiekusių mokinių dalis (proc.) ne mažesnė kaip: </w:t>
            </w:r>
          </w:p>
          <w:p w14:paraId="73CB26B7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19.1. lietuvių kalba – 68 proc. </w:t>
            </w:r>
          </w:p>
          <w:p w14:paraId="539928A0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19.2. matematika – 47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5C90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19. Savivaldybės mokinių pagrindinio ugdymo pasiekimų patikrinimo vidurkiai (pagal dalykus) ne mažesni už šalies mokinių pagrindinio ugdymo pasiekimų patikrinimo vidurkius (pagal dalykus)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67AD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Lietuvių kalbos ir literatūros:</w:t>
            </w:r>
          </w:p>
          <w:p w14:paraId="0638B85E" w14:textId="558F2E41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– 6,45</w:t>
            </w:r>
          </w:p>
          <w:p w14:paraId="41EEC6AF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6,29</w:t>
            </w:r>
          </w:p>
          <w:p w14:paraId="0C71A98E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EE40E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Matematikos:</w:t>
            </w:r>
          </w:p>
          <w:p w14:paraId="64558A5B" w14:textId="7F51738B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– 6,00</w:t>
            </w:r>
          </w:p>
          <w:p w14:paraId="40A9BD2B" w14:textId="1DEA1D0D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6,05</w:t>
            </w:r>
          </w:p>
          <w:p w14:paraId="30DCA009" w14:textId="525A610D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D0D" w14:textId="77ABCECB" w:rsidR="003679BB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  <w:p w14:paraId="66E00CD0" w14:textId="77777777" w:rsidR="00D91E0D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135C" w14:textId="77777777" w:rsidR="00D91E0D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9B71" w14:textId="77777777" w:rsidR="00D91E0D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7697" w14:textId="77777777" w:rsidR="00D91E0D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047A" w14:textId="77777777" w:rsidR="00D91E0D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4408" w14:textId="326E1268" w:rsidR="00D91E0D" w:rsidRPr="002037D0" w:rsidRDefault="00D91E0D" w:rsidP="00E503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</w:tc>
      </w:tr>
      <w:tr w:rsidR="003679BB" w:rsidRPr="002037D0" w14:paraId="34812E74" w14:textId="6A67B461" w:rsidTr="002545E0">
        <w:trPr>
          <w:cantSplit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BF0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7811F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20. Mokinių, nepasiekusių nacionalinio mokinių pasiekimų patikrinimo patenkinamo lygio, dalis: 20.1. 4 kl. matematika – 0,5 proc.</w:t>
            </w:r>
          </w:p>
          <w:p w14:paraId="00415F2E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        4 kl. skaitymas – 2,2 proc.</w:t>
            </w:r>
          </w:p>
          <w:p w14:paraId="66ED14D1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        4 kl. rašymas – 1,2 proc.</w:t>
            </w:r>
          </w:p>
          <w:p w14:paraId="30447D1B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20.2. 6 kl. matematika – 4,3 proc.</w:t>
            </w:r>
          </w:p>
          <w:p w14:paraId="4E803B3E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        6 kl. skaitymas – 1 proc.</w:t>
            </w:r>
          </w:p>
          <w:p w14:paraId="286D897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        6 kl. rašymas – 5,5 proc.</w:t>
            </w:r>
          </w:p>
          <w:p w14:paraId="0D3FB988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20.3. 8 kl. matematika – 8,2 proc.</w:t>
            </w:r>
          </w:p>
          <w:p w14:paraId="60BD5053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        8 kl. skaitymas – 8,8 proc.</w:t>
            </w:r>
          </w:p>
          <w:p w14:paraId="59BF69A6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        8 kl. rašymas – 7,6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FBEB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20. Savivaldybės mokinių nacionalinio pasiekimų patikrinimo vidurkiai (pagal dalykus) ne mažesni už šalies mokinių nacionalinio pasiekimų patikrinimo vidurkius (pagal dalykus)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03BD" w14:textId="2917D7F0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4 kl. lietuvių kalbos ir literatūros: Savivaldybės – 79,1</w:t>
            </w:r>
          </w:p>
          <w:p w14:paraId="35773830" w14:textId="17FC98A0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75,5</w:t>
            </w:r>
          </w:p>
          <w:p w14:paraId="75604885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B13CD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4 kl. matematikos:  </w:t>
            </w:r>
          </w:p>
          <w:p w14:paraId="776362E8" w14:textId="6EA51569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– 75,4</w:t>
            </w:r>
          </w:p>
          <w:p w14:paraId="3AD66166" w14:textId="612DA884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74,9</w:t>
            </w:r>
          </w:p>
          <w:p w14:paraId="4DE40CCE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46F8" w14:textId="71FC60F1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4 kl. gimtosios kalbos (rusų) skaitymo </w:t>
            </w:r>
          </w:p>
          <w:p w14:paraId="1A1B8559" w14:textId="0D6DB532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– 76,3</w:t>
            </w:r>
          </w:p>
          <w:p w14:paraId="2CD77269" w14:textId="0D947B54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86,4</w:t>
            </w:r>
          </w:p>
          <w:p w14:paraId="38E96D11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79753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8 kl. skaitymo</w:t>
            </w:r>
          </w:p>
          <w:p w14:paraId="73471129" w14:textId="7925254A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– 76,6</w:t>
            </w:r>
          </w:p>
          <w:p w14:paraId="086A5506" w14:textId="0E3B5525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73,7</w:t>
            </w:r>
          </w:p>
          <w:p w14:paraId="724C75DB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258FA" w14:textId="41A24763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8 kl. matematikos:  </w:t>
            </w:r>
          </w:p>
          <w:p w14:paraId="442C69ED" w14:textId="6B886FAA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– 58,4</w:t>
            </w:r>
          </w:p>
          <w:p w14:paraId="76E893B8" w14:textId="5F59E552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58,9</w:t>
            </w:r>
          </w:p>
          <w:p w14:paraId="5377E5E4" w14:textId="77777777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B32F8" w14:textId="22F4A0A0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8 kl. gimtosios kalbos (rusų) skaitymo</w:t>
            </w:r>
          </w:p>
          <w:p w14:paraId="5D9F3772" w14:textId="4616E2D4" w:rsidR="003679BB" w:rsidRPr="002037D0" w:rsidRDefault="003679BB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Savivaldybės – 70,0</w:t>
            </w:r>
          </w:p>
          <w:p w14:paraId="2A44C96C" w14:textId="20EED79B" w:rsidR="003679BB" w:rsidRPr="002037D0" w:rsidRDefault="003679BB" w:rsidP="00E46E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Šalies – 79,2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4CDC" w14:textId="0C69641C" w:rsidR="003679BB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  <w:p w14:paraId="6F48B468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88C6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DA2E1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96E1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5BF2C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EB54E" w14:textId="1A565870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  <w:p w14:paraId="352C37FB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2E5AC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3D6C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7D7AD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5C077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  <w:p w14:paraId="2F1AD343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A8B5F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BA107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0B25" w14:textId="6898F739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  <w:p w14:paraId="4F05C5F7" w14:textId="77777777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F84C" w14:textId="77777777" w:rsidR="001D4344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B4CA9" w14:textId="77777777" w:rsidR="001D4344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CE9F" w14:textId="683F3A30" w:rsidR="001D4344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  <w:p w14:paraId="3D96DA7F" w14:textId="77777777" w:rsidR="001D4344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1EE3" w14:textId="77777777" w:rsidR="001D4344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AA75A" w14:textId="77777777" w:rsidR="001D4344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1F196" w14:textId="77777777" w:rsidR="001D4344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DAD48" w14:textId="09D06F28" w:rsidR="00D91E0D" w:rsidRPr="002037D0" w:rsidRDefault="001D4344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  <w:p w14:paraId="277FE666" w14:textId="5B22D4D3" w:rsidR="00D91E0D" w:rsidRPr="002037D0" w:rsidRDefault="00D91E0D" w:rsidP="007E6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BB" w:rsidRPr="002037D0" w14:paraId="0D881256" w14:textId="70B6A5E0" w:rsidTr="002545E0">
        <w:trPr>
          <w:cantSplit/>
          <w:trHeight w:val="33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E7F0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D1CD2F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21. Tris ir daugiau valstybinių brandos egzaminų išlaikiusių abiturientų dalis – 71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C9A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21. Tris ir daugiau valstybinių brandos egzaminų išlaikiusių abiturientų  dalis – 73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2D61" w14:textId="1585547C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85,8 proc. (ŠVIS duomenys)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85E0" w14:textId="1277434C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FC6071" w:rsidRPr="002037D0" w14:paraId="5046F84D" w14:textId="574AB3D2" w:rsidTr="002545E0">
        <w:trPr>
          <w:cantSplit/>
          <w:trHeight w:val="33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E2C" w14:textId="77777777" w:rsidR="00FC6071" w:rsidRPr="002037D0" w:rsidRDefault="00FC6071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648EA" w14:textId="77777777" w:rsidR="00FC6071" w:rsidRPr="002037D0" w:rsidRDefault="00FC6071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 STEAM mokslų dalykus ir egzaminus pasirinkusiųjų dalis (proc.):</w:t>
            </w:r>
          </w:p>
        </w:tc>
        <w:tc>
          <w:tcPr>
            <w:tcW w:w="3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A22" w14:textId="0CAD2130" w:rsidR="00FC6071" w:rsidRPr="002037D0" w:rsidRDefault="00FC6071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 STEAM mokslų dalykus ir egzaminus pasirinkusiųjų dalis (proc.):</w:t>
            </w:r>
          </w:p>
        </w:tc>
      </w:tr>
      <w:tr w:rsidR="003679BB" w:rsidRPr="002037D0" w14:paraId="683AAD1D" w14:textId="4DB19B4D" w:rsidTr="002545E0">
        <w:trPr>
          <w:cantSplit/>
          <w:trHeight w:val="33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25F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207C8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22.1. mokinių, pasirinkusių laikyti chemijos egzaminą, dalis nuo visų mokinių – 3,2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34F6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22.1. mokinių, pasirinkusių laikyti chemijos egzaminą, dalis nuo visų mokinių – 8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10DC" w14:textId="5AB51470" w:rsidR="003679BB" w:rsidRPr="002037D0" w:rsidRDefault="001D4344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79BB"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C9F7" w14:textId="5BA0B62E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pasiektas</w:t>
            </w:r>
          </w:p>
        </w:tc>
      </w:tr>
      <w:tr w:rsidR="003679BB" w:rsidRPr="002037D0" w14:paraId="75E86928" w14:textId="5A13DF45" w:rsidTr="002545E0">
        <w:trPr>
          <w:cantSplit/>
          <w:trHeight w:val="33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305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6665B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22.2. mokinių, išlaikiusių chemijos egzaminą nuo 86 iki 100 balų, dalis – 36,8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8C1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22.2. mokinių, išlaikiusių chemijos egzaminą nuo 86 iki 100 balų, dalis – 37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5294" w14:textId="2D91AF73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42,1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267" w14:textId="722B3D0A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7B4BEC32" w14:textId="2E8B0852" w:rsidTr="002545E0">
        <w:trPr>
          <w:cantSplit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7B5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FA56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22.3. mokinių, pasirinkusių laikyti informacinių technologijų egzaminą, dalis nuo visų mokinių – 9,8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453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22.3. mokinių, pasirinkusių laikyti informacinių technologijų egzaminą, dalis nuo visų mokinių – 10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68E4" w14:textId="45857484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17,9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EF88" w14:textId="4F45CF0A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32B7EBB1" w14:textId="525401A8" w:rsidTr="002545E0">
        <w:trPr>
          <w:cantSplit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546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582B0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22.4. mokinių, išlaikiusių informacinių technologijų egzaminą nuo 86 iki 100 balų, dalis – 18,87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85FC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22.4. mokinių, išlaikiusių informacinių technologijų egzaminą nuo 86 iki 100 balų, dalis – 35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E2B1" w14:textId="40FB3F76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29,2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6E48" w14:textId="2E37DB4A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</w:tc>
      </w:tr>
      <w:tr w:rsidR="003679BB" w:rsidRPr="002037D0" w14:paraId="60A9793D" w14:textId="0623C1B6" w:rsidTr="002545E0">
        <w:trPr>
          <w:cantSplit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24B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3EB8A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22.5. mokinių, pasirinkusių laikyti fizikos egzaminą, dalis nuo visų mokinių – 7,4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43C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22.5. mokinių, pasirinkusių laikyti fizikos egzaminą, dalis nuo visų mokinių – 15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B002" w14:textId="0D7B2E6F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9,6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18D8" w14:textId="591D414F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</w:p>
        </w:tc>
      </w:tr>
      <w:tr w:rsidR="003679BB" w:rsidRPr="002037D0" w14:paraId="7535E7F6" w14:textId="1E84D303" w:rsidTr="002545E0">
        <w:trPr>
          <w:cantSplit/>
          <w:trHeight w:val="73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F206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FDBA5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22.6. mokinių, išlaikiusių fizikos egzaminą nuo 86 iki 100 balų, dalis – 11,76 proc.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2F74C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22.6. mokinių, išlaikiusių fizikos egzaminą nuo 86 iki 100 balų, dalis – 12 proc.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D1E94" w14:textId="59B9F0FD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14,4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FEAEF" w14:textId="6856A858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428E2830" w14:textId="5A04D2A7" w:rsidTr="002545E0">
        <w:trPr>
          <w:cantSplit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C1E7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Moderni ugdymo(si) aplinka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660" w14:textId="42E0D70C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23. 90 proc. mokytojų pamokose naudoja skaitmenines mokymosi aplinkas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C0FB" w14:textId="073A4899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23. 95 proc. mokytojų pamokose naudoja skaitmenines mokymosi aplinkas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56C1" w14:textId="11680F67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99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25DE" w14:textId="3A6D8AF4" w:rsidR="003679BB" w:rsidRPr="002037D0" w:rsidRDefault="001D4344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viršytas</w:t>
            </w:r>
          </w:p>
        </w:tc>
      </w:tr>
      <w:tr w:rsidR="003679BB" w:rsidRPr="002037D0" w14:paraId="01EC11B0" w14:textId="014356EC" w:rsidTr="002545E0">
        <w:trPr>
          <w:cantSplit/>
        </w:trPr>
        <w:tc>
          <w:tcPr>
            <w:tcW w:w="5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88C75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483B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24. Mokymosi plotas, tenkantis vienam mokiniui (išskyrus regionines mokyklas), – 4,58 kv. m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F692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24. Mokymosi plotas, tenkantis vienam mokiniui (išskyrus regionines mokyklas), – 5,14 kv. m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6DEF" w14:textId="06A4535C" w:rsidR="003679BB" w:rsidRPr="002037D0" w:rsidRDefault="00945192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F5F35" w:rsidRPr="00203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 xml:space="preserve"> kv. m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1BA" w14:textId="42F67286" w:rsidR="003679BB" w:rsidRPr="002037D0" w:rsidRDefault="009954BE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F5F35" w:rsidRPr="002037D0">
              <w:rPr>
                <w:rFonts w:ascii="Times New Roman" w:hAnsi="Times New Roman" w:cs="Times New Roman"/>
                <w:sz w:val="24"/>
                <w:szCs w:val="24"/>
              </w:rPr>
              <w:t>epasiektas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(dėl neplanuoto ukrainiečių mokinių skaičiaus, įtraukiojo ugdymo pokyčių)</w:t>
            </w:r>
          </w:p>
        </w:tc>
      </w:tr>
      <w:tr w:rsidR="003679BB" w:rsidRPr="002037D0" w14:paraId="5BD8DA43" w14:textId="7A683391" w:rsidTr="002545E0">
        <w:trPr>
          <w:cantSplit/>
        </w:trPr>
        <w:tc>
          <w:tcPr>
            <w:tcW w:w="5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4DD3" w14:textId="77777777" w:rsidR="003679BB" w:rsidRPr="002037D0" w:rsidRDefault="003679BB" w:rsidP="00584B4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7D08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25. 80 proc. mokyklų ugdymo(si) aplinka dinamiška, atvira, funkcionali, pritaikyta mokiniams, turintiems specialiųjų ugdymosi poreikių (pagal susitartus kriterijus)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8389" w14:textId="77777777" w:rsidR="003679BB" w:rsidRPr="002037D0" w:rsidRDefault="003679BB" w:rsidP="00584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25. 90 proc. mokyklų ugdymo(si) aplinka dinamiška, atvira, funkcionali, pritaikyta mokiniams, turintiems specialiųjų ugdymosi poreikių (pagal susitartus kriterijus)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135" w14:textId="5CE865A1" w:rsidR="003679BB" w:rsidRPr="002037D0" w:rsidRDefault="003679BB" w:rsidP="00E750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0">
              <w:rPr>
                <w:rFonts w:ascii="Times New Roman" w:hAnsi="Times New Roman" w:cs="Times New Roman"/>
                <w:sz w:val="24"/>
                <w:szCs w:val="24"/>
              </w:rPr>
              <w:t>73,3 proc.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375" w14:textId="1C57E238" w:rsidR="003679BB" w:rsidRPr="002037D0" w:rsidRDefault="00E333CC" w:rsidP="001D4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D4344" w:rsidRPr="002037D0">
              <w:rPr>
                <w:rFonts w:ascii="Times New Roman" w:hAnsi="Times New Roman" w:cs="Times New Roman"/>
                <w:sz w:val="24"/>
                <w:szCs w:val="24"/>
              </w:rPr>
              <w:t>epasiektas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(dėl vėluojančio</w:t>
            </w:r>
            <w:r w:rsidR="00E4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neskirto</w:t>
            </w:r>
            <w:r w:rsidR="00E46EF5">
              <w:rPr>
                <w:rFonts w:ascii="Times New Roman" w:hAnsi="Times New Roman" w:cs="Times New Roman"/>
                <w:sz w:val="24"/>
                <w:szCs w:val="24"/>
              </w:rPr>
              <w:t xml:space="preserve"> ar nepakankamo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finansavimo)</w:t>
            </w:r>
          </w:p>
        </w:tc>
      </w:tr>
    </w:tbl>
    <w:p w14:paraId="5F197BDE" w14:textId="1C90FFEC" w:rsidR="00EE1CED" w:rsidRPr="002545E0" w:rsidRDefault="003D7DBB" w:rsidP="002545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5E0">
        <w:rPr>
          <w:rFonts w:ascii="Times New Roman" w:hAnsi="Times New Roman" w:cs="Times New Roman"/>
          <w:sz w:val="20"/>
          <w:szCs w:val="20"/>
        </w:rPr>
        <w:t>*Pastaba. Mokinys, kurio lietuvių kalbos metinis įvertinimas nepakito arba padidėjo, palyginti su praėjusių mokslo metų įvertinimu, laikomas padariusiu pažangą.</w:t>
      </w:r>
    </w:p>
    <w:sectPr w:rsidR="00EE1CED" w:rsidRPr="002545E0" w:rsidSect="00CD2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10CD" w14:textId="77777777" w:rsidR="002C5562" w:rsidRDefault="002C5562" w:rsidP="000A67D8">
      <w:pPr>
        <w:spacing w:after="0" w:line="240" w:lineRule="auto"/>
      </w:pPr>
      <w:r>
        <w:separator/>
      </w:r>
    </w:p>
  </w:endnote>
  <w:endnote w:type="continuationSeparator" w:id="0">
    <w:p w14:paraId="312A8BEA" w14:textId="77777777" w:rsidR="002C5562" w:rsidRDefault="002C5562" w:rsidP="000A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9B51" w14:textId="77777777" w:rsidR="00A04FB0" w:rsidRDefault="00A04F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6980" w14:textId="77777777" w:rsidR="00A04FB0" w:rsidRDefault="00A04F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0614" w14:textId="77777777" w:rsidR="00A04FB0" w:rsidRDefault="00A04FB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4D5D" w14:textId="77777777" w:rsidR="002C5562" w:rsidRDefault="002C5562" w:rsidP="000A67D8">
      <w:pPr>
        <w:spacing w:after="0" w:line="240" w:lineRule="auto"/>
      </w:pPr>
      <w:r>
        <w:separator/>
      </w:r>
    </w:p>
  </w:footnote>
  <w:footnote w:type="continuationSeparator" w:id="0">
    <w:p w14:paraId="154E150F" w14:textId="77777777" w:rsidR="002C5562" w:rsidRDefault="002C5562" w:rsidP="000A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2048" w14:textId="77777777" w:rsidR="00A04FB0" w:rsidRDefault="00A04F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130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3638DB" w14:textId="716C4E61" w:rsidR="00A04FB0" w:rsidRPr="00A04FB0" w:rsidRDefault="00A04FB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F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F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F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4FB0">
          <w:rPr>
            <w:rFonts w:ascii="Times New Roman" w:hAnsi="Times New Roman" w:cs="Times New Roman"/>
            <w:sz w:val="24"/>
            <w:szCs w:val="24"/>
          </w:rPr>
          <w:t>2</w:t>
        </w:r>
        <w:r w:rsidRPr="00A04F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CB0711" w14:textId="77777777" w:rsidR="000A67D8" w:rsidRDefault="000A67D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E77D" w14:textId="77777777" w:rsidR="00A04FB0" w:rsidRDefault="00A04F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B57"/>
    <w:multiLevelType w:val="multilevel"/>
    <w:tmpl w:val="7022691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32771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40"/>
    <w:rsid w:val="00072508"/>
    <w:rsid w:val="000A67D8"/>
    <w:rsid w:val="000B43E5"/>
    <w:rsid w:val="00115BCA"/>
    <w:rsid w:val="00146FB3"/>
    <w:rsid w:val="00181B69"/>
    <w:rsid w:val="00183CD5"/>
    <w:rsid w:val="00187898"/>
    <w:rsid w:val="001D4344"/>
    <w:rsid w:val="002037D0"/>
    <w:rsid w:val="002545E0"/>
    <w:rsid w:val="002602A3"/>
    <w:rsid w:val="002C5562"/>
    <w:rsid w:val="003379E0"/>
    <w:rsid w:val="003679BB"/>
    <w:rsid w:val="00397541"/>
    <w:rsid w:val="003D7DBB"/>
    <w:rsid w:val="0041252C"/>
    <w:rsid w:val="004E1A75"/>
    <w:rsid w:val="005E368D"/>
    <w:rsid w:val="005F7A32"/>
    <w:rsid w:val="0062258A"/>
    <w:rsid w:val="006325A8"/>
    <w:rsid w:val="006D0872"/>
    <w:rsid w:val="006E19DB"/>
    <w:rsid w:val="00735DC5"/>
    <w:rsid w:val="00771911"/>
    <w:rsid w:val="00772015"/>
    <w:rsid w:val="007D1329"/>
    <w:rsid w:val="007E6A93"/>
    <w:rsid w:val="00871D90"/>
    <w:rsid w:val="008A018E"/>
    <w:rsid w:val="008D33CB"/>
    <w:rsid w:val="008F5F35"/>
    <w:rsid w:val="00914808"/>
    <w:rsid w:val="00945192"/>
    <w:rsid w:val="00972630"/>
    <w:rsid w:val="00975C2A"/>
    <w:rsid w:val="00990C0F"/>
    <w:rsid w:val="009954BE"/>
    <w:rsid w:val="009C2BC8"/>
    <w:rsid w:val="009D7443"/>
    <w:rsid w:val="00A04FB0"/>
    <w:rsid w:val="00A420E9"/>
    <w:rsid w:val="00A60ED4"/>
    <w:rsid w:val="00A729CC"/>
    <w:rsid w:val="00A921F6"/>
    <w:rsid w:val="00AA6776"/>
    <w:rsid w:val="00AC72BE"/>
    <w:rsid w:val="00AE5A8B"/>
    <w:rsid w:val="00B278B4"/>
    <w:rsid w:val="00B96327"/>
    <w:rsid w:val="00BC2B49"/>
    <w:rsid w:val="00C77FB7"/>
    <w:rsid w:val="00CD25ED"/>
    <w:rsid w:val="00CF3211"/>
    <w:rsid w:val="00D22E40"/>
    <w:rsid w:val="00D23C73"/>
    <w:rsid w:val="00D91E0D"/>
    <w:rsid w:val="00E05958"/>
    <w:rsid w:val="00E333CC"/>
    <w:rsid w:val="00E46EF5"/>
    <w:rsid w:val="00E5034C"/>
    <w:rsid w:val="00E750C1"/>
    <w:rsid w:val="00E82B71"/>
    <w:rsid w:val="00E97B09"/>
    <w:rsid w:val="00EE1CED"/>
    <w:rsid w:val="00F019E2"/>
    <w:rsid w:val="00FC6071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BE15"/>
  <w15:chartTrackingRefBased/>
  <w15:docId w15:val="{61308AA6-6709-44D6-98F0-5CFC45B5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0C1"/>
    <w:pPr>
      <w:suppressAutoHyphens/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2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2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2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2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2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2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2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2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2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2E4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2E4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2E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2E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2E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2E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2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2E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2E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2E4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2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2E4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2E4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A67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67D8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A67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7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6492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Stankuvienė</dc:creator>
  <cp:keywords/>
  <dc:description/>
  <cp:lastModifiedBy>Živilė Nakčiūnienė</cp:lastModifiedBy>
  <cp:revision>2</cp:revision>
  <dcterms:created xsi:type="dcterms:W3CDTF">2026-07-01T08:48:00Z</dcterms:created>
  <dcterms:modified xsi:type="dcterms:W3CDTF">2026-07-01T08:48:00Z</dcterms:modified>
</cp:coreProperties>
</file>