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Antrat2"/>
        <w:spacing w:before="0" w:after="0"/>
        <w:jc w:val="center"/>
        <w:rPr>
          <w:i w:val="false"/>
          <w:i w:val="false"/>
          <w:sz w:val="24"/>
        </w:rPr>
      </w:pPr>
      <w:r>
        <w:rPr/>
        <w:object>
          <v:shape id="ole_rId2" style="width:38.65pt;height:47.55pt" o:ole="">
            <v:imagedata r:id="rId3" o:title=""/>
          </v:shape>
          <o:OLEObject Type="Embed" ProgID="OutPlace" ShapeID="ole_rId2" DrawAspect="Content" ObjectID="_590152758" r:id="rId2"/>
        </w:object>
      </w:r>
    </w:p>
    <w:p>
      <w:pPr>
        <w:pStyle w:val="Heading2"/>
        <w:numPr>
          <w:ilvl w:val="1"/>
          <w:numId w:val="2"/>
        </w:numPr>
        <w:tabs>
          <w:tab w:val="clear" w:pos="720"/>
          <w:tab w:val="left" w:pos="0" w:leader="none"/>
        </w:tabs>
        <w:jc w:val="center"/>
        <w:rPr>
          <w:rFonts w:ascii="Times New Roman" w:hAnsi="Times New Roman"/>
        </w:rPr>
      </w:pPr>
      <w:r>
        <w:rPr>
          <w:rFonts w:ascii="Times New Roman" w:hAnsi="Times New Roman"/>
        </w:rPr>
        <w:t>ŠIAULIŲ MIESTO SAVIVALDYBĖS ADMINISTRACIJOS</w:t>
      </w:r>
    </w:p>
    <w:p>
      <w:pPr>
        <w:pStyle w:val="Normal"/>
        <w:jc w:val="center"/>
        <w:rPr>
          <w:rFonts w:ascii="Times New Roman" w:hAnsi="Times New Roman"/>
        </w:rPr>
      </w:pPr>
      <w:r>
        <w:rPr>
          <w:rFonts w:ascii="Times New Roman" w:hAnsi="Times New Roman"/>
          <w:b/>
        </w:rPr>
        <w:t>DIREKTORIUS</w:t>
      </w:r>
    </w:p>
    <w:p>
      <w:pPr>
        <w:pStyle w:val="Heading1"/>
        <w:numPr>
          <w:ilvl w:val="0"/>
          <w:numId w:val="0"/>
        </w:numPr>
        <w:ind w:left="0" w:hanging="0"/>
        <w:rPr>
          <w:rFonts w:ascii="Times New Roman" w:hAnsi="Times New Roman"/>
          <w:b w:val="false"/>
          <w:b w:val="false"/>
        </w:rPr>
      </w:pPr>
      <w:r>
        <w:rPr>
          <w:rFonts w:ascii="Times New Roman" w:hAnsi="Times New Roman"/>
          <w:b w:val="false"/>
        </w:rPr>
      </w:r>
    </w:p>
    <w:p>
      <w:pPr>
        <w:pStyle w:val="Normal"/>
        <w:jc w:val="center"/>
        <w:rPr>
          <w:rFonts w:ascii="Times New Roman" w:hAnsi="Times New Roman"/>
          <w:b/>
          <w:b/>
        </w:rPr>
      </w:pPr>
      <w:r>
        <w:rPr>
          <w:rFonts w:ascii="Times New Roman" w:hAnsi="Times New Roman"/>
          <w:b/>
        </w:rPr>
        <w:t>ĮSAKYMAS</w:t>
      </w:r>
    </w:p>
    <w:p>
      <w:pPr>
        <w:pStyle w:val="Normal"/>
        <w:jc w:val="center"/>
        <w:rPr>
          <w:rFonts w:ascii="Times New Roman" w:hAnsi="Times New Roman"/>
          <w:b/>
          <w:b/>
        </w:rPr>
      </w:pPr>
      <w:r>
        <w:rPr>
          <w:rFonts w:ascii="Times New Roman" w:hAnsi="Times New Roman"/>
          <w:b/>
        </w:rPr>
        <w:t>DĖL  ŽEMĖS SKLYP</w:t>
      </w:r>
      <w:r>
        <w:rPr>
          <w:rFonts w:ascii="Times New Roman" w:hAnsi="Times New Roman"/>
          <w:b/>
        </w:rPr>
        <w:t>O</w:t>
      </w:r>
      <w:r>
        <w:rPr>
          <w:rFonts w:ascii="Times New Roman" w:hAnsi="Times New Roman"/>
          <w:b/>
        </w:rPr>
        <w:t xml:space="preserve"> </w:t>
      </w:r>
      <w:r>
        <w:rPr>
          <w:rFonts w:ascii="Times New Roman" w:hAnsi="Times New Roman"/>
          <w:b/>
        </w:rPr>
        <w:t>J. ŽEMAIČIO</w:t>
      </w:r>
      <w:r>
        <w:rPr>
          <w:rFonts w:ascii="Times New Roman" w:hAnsi="Times New Roman"/>
          <w:b/>
        </w:rPr>
        <w:t xml:space="preserve"> G. 3, ŠIAULIUOSE, DETALIOJO PLANO </w:t>
      </w:r>
    </w:p>
    <w:p>
      <w:pPr>
        <w:pStyle w:val="Normal"/>
        <w:jc w:val="center"/>
        <w:rPr>
          <w:rFonts w:ascii="Times New Roman" w:hAnsi="Times New Roman"/>
        </w:rPr>
      </w:pPr>
      <w:r>
        <w:rPr>
          <w:rFonts w:eastAsia="Times New Roman" w:ascii="Times New Roman" w:hAnsi="Times New Roman"/>
          <w:b/>
          <w:bCs/>
          <w:szCs w:val="20"/>
        </w:rPr>
        <w:t>KEITIMO</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2022 m. ........................ d. Nr. A-........</w:t>
      </w:r>
    </w:p>
    <w:p>
      <w:pPr>
        <w:pStyle w:val="Normal"/>
        <w:jc w:val="center"/>
        <w:rPr>
          <w:rFonts w:ascii="Times New Roman" w:hAnsi="Times New Roman"/>
        </w:rPr>
      </w:pPr>
      <w:r>
        <w:rPr>
          <w:rFonts w:ascii="Times New Roman" w:hAnsi="Times New Roman"/>
        </w:rPr>
        <w:t>Šiauliai</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tabs>
          <w:tab w:val="clear" w:pos="720"/>
          <w:tab w:val="left" w:pos="1122" w:leader="none"/>
        </w:tabs>
        <w:jc w:val="both"/>
        <w:rPr>
          <w:rFonts w:ascii="Times New Roman" w:hAnsi="Times New Roman" w:eastAsia="Times New Roman"/>
          <w:color w:val="auto"/>
        </w:rPr>
      </w:pPr>
      <w:r>
        <w:rPr>
          <w:rFonts w:eastAsia="Times New Roman" w:ascii="Times New Roman" w:hAnsi="Times New Roman"/>
          <w:szCs w:val="20"/>
        </w:rPr>
        <w:tab/>
        <w:t>Vadovaudamasis Lietuvos Respublikos Vyriausybės 2013 m. gruodžio 18 d. nutarimu Nr. 1265 „Dėl pasiūlymų teikimo dėl teritorijų planavimo proceso inicijavimo tvarkos aprašo patvirtinimo“ patvirtintu Pasiūlymų teikimo dėl teritorijų planavimo proceso inicijavimo tvarkos aprašu, Lietuvos Respublikos teritorijų planavimo įstatymo 28 straipsnio 1, 4 ir 8 dalimis, Lietuvos Respublikos aplinkos ministro 2014 m. sausio 2 d. įsakymu Nr. D1-8 „Dėl kompleksinio teritorijų planavimo dokumentų rengimo taisyklių patvirtinimo“ patvirtintų Kompleksinio teritorijų planavimo dokumentų rengimo taisyklių 312, 313 ir 314 punktais:</w:t>
      </w:r>
    </w:p>
    <w:p>
      <w:pPr>
        <w:pStyle w:val="Normal"/>
        <w:tabs>
          <w:tab w:val="clear" w:pos="720"/>
          <w:tab w:val="left" w:pos="1122" w:leader="none"/>
        </w:tabs>
        <w:jc w:val="both"/>
        <w:rPr>
          <w:rFonts w:ascii="Times New Roman" w:hAnsi="Times New Roman" w:eastAsia="Times New Roman"/>
          <w:szCs w:val="20"/>
        </w:rPr>
      </w:pPr>
      <w:r>
        <w:rPr>
          <w:rFonts w:eastAsia="Times New Roman" w:ascii="Times New Roman" w:hAnsi="Times New Roman"/>
          <w:color w:val="auto"/>
        </w:rPr>
        <w:tab/>
      </w:r>
      <w:r>
        <w:rPr>
          <w:rFonts w:eastAsia="Times New Roman" w:ascii="Times New Roman" w:hAnsi="Times New Roman"/>
          <w:szCs w:val="20"/>
        </w:rPr>
        <w:t>1. N u s p r e n d ž i u  pradėti Žemės sklyp</w:t>
      </w:r>
      <w:r>
        <w:rPr>
          <w:rFonts w:eastAsia="Times New Roman" w:ascii="Times New Roman" w:hAnsi="Times New Roman"/>
          <w:szCs w:val="20"/>
        </w:rPr>
        <w:t>o J. Žemaičio g. 3</w:t>
      </w:r>
      <w:r>
        <w:rPr>
          <w:rFonts w:eastAsia="Times New Roman" w:ascii="Times New Roman" w:hAnsi="Times New Roman"/>
          <w:szCs w:val="20"/>
        </w:rPr>
        <w:t xml:space="preserve">, Šiauliuose, detaliojo plano (toliau – Detalusis planas), patvirtinto Šiaulių miesto savivaldybės </w:t>
      </w:r>
      <w:r>
        <w:rPr>
          <w:rFonts w:eastAsia="Times New Roman" w:cs="Times New Roman" w:ascii="Times New Roman" w:hAnsi="Times New Roman"/>
          <w:color w:val="000000"/>
          <w:kern w:val="0"/>
          <w:sz w:val="24"/>
          <w:szCs w:val="20"/>
          <w:lang w:val="lt-LT" w:eastAsia="ar-SA" w:bidi="ar-SA"/>
        </w:rPr>
        <w:t>tarybos</w:t>
      </w:r>
      <w:r>
        <w:rPr>
          <w:rFonts w:eastAsia="Times New Roman" w:ascii="Times New Roman" w:hAnsi="Times New Roman"/>
          <w:szCs w:val="20"/>
        </w:rPr>
        <w:t xml:space="preserve">  20</w:t>
      </w:r>
      <w:r>
        <w:rPr>
          <w:rFonts w:eastAsia="Times New Roman" w:ascii="Times New Roman" w:hAnsi="Times New Roman"/>
          <w:szCs w:val="20"/>
        </w:rPr>
        <w:t>0</w:t>
      </w:r>
      <w:r>
        <w:rPr>
          <w:rFonts w:eastAsia="Times New Roman" w:ascii="Times New Roman" w:hAnsi="Times New Roman"/>
          <w:szCs w:val="20"/>
        </w:rPr>
        <w:t>6</w:t>
      </w:r>
      <w:r>
        <w:rPr>
          <w:rFonts w:eastAsia="Times New Roman" w:ascii="Times New Roman" w:hAnsi="Times New Roman"/>
          <w:szCs w:val="20"/>
        </w:rPr>
        <w:t xml:space="preserve"> m. </w:t>
      </w:r>
      <w:r>
        <w:rPr>
          <w:rFonts w:eastAsia="Times New Roman" w:ascii="Times New Roman" w:hAnsi="Times New Roman"/>
          <w:szCs w:val="20"/>
        </w:rPr>
        <w:t>rugsėj</w:t>
      </w:r>
      <w:r>
        <w:rPr>
          <w:rFonts w:eastAsia="Times New Roman" w:ascii="Times New Roman" w:hAnsi="Times New Roman"/>
          <w:szCs w:val="20"/>
        </w:rPr>
        <w:t>o 2</w:t>
      </w:r>
      <w:r>
        <w:rPr>
          <w:rFonts w:eastAsia="Times New Roman" w:ascii="Times New Roman" w:hAnsi="Times New Roman"/>
          <w:szCs w:val="20"/>
        </w:rPr>
        <w:t>8</w:t>
      </w:r>
      <w:r>
        <w:rPr>
          <w:rFonts w:eastAsia="Times New Roman" w:ascii="Times New Roman" w:hAnsi="Times New Roman"/>
          <w:szCs w:val="20"/>
        </w:rPr>
        <w:t xml:space="preserve"> d. </w:t>
      </w:r>
      <w:r>
        <w:rPr>
          <w:rFonts w:eastAsia="Times New Roman" w:ascii="Times New Roman" w:hAnsi="Times New Roman"/>
          <w:szCs w:val="20"/>
        </w:rPr>
        <w:t>sprendi</w:t>
      </w:r>
      <w:r>
        <w:rPr>
          <w:rFonts w:eastAsia="Times New Roman" w:ascii="Times New Roman" w:hAnsi="Times New Roman"/>
          <w:szCs w:val="20"/>
        </w:rPr>
        <w:t>mu Nr. T-352, keitimo procedūrą.</w:t>
      </w:r>
    </w:p>
    <w:p>
      <w:pPr>
        <w:pStyle w:val="Normal"/>
        <w:tabs>
          <w:tab w:val="clear" w:pos="720"/>
          <w:tab w:val="left" w:pos="1122" w:leader="none"/>
        </w:tabs>
        <w:jc w:val="both"/>
        <w:rPr>
          <w:rFonts w:ascii="Times New Roman" w:hAnsi="Times New Roman" w:eastAsia="Times New Roman"/>
          <w:szCs w:val="20"/>
        </w:rPr>
      </w:pPr>
      <w:r>
        <w:rPr>
          <w:rFonts w:eastAsia="Times New Roman" w:ascii="Times New Roman" w:hAnsi="Times New Roman"/>
          <w:szCs w:val="20"/>
        </w:rPr>
        <w:tab/>
        <w:t>2. N u s t a t a u, kad Detaliojo plano keitimo tikslai:</w:t>
      </w:r>
    </w:p>
    <w:p>
      <w:pPr>
        <w:pStyle w:val="Normal"/>
        <w:tabs>
          <w:tab w:val="clear" w:pos="720"/>
          <w:tab w:val="left" w:pos="1122" w:leader="none"/>
        </w:tabs>
        <w:jc w:val="both"/>
        <w:rPr>
          <w:rFonts w:ascii="Times New Roman" w:hAnsi="Times New Roman" w:eastAsia="Times New Roman"/>
          <w:szCs w:val="20"/>
        </w:rPr>
      </w:pPr>
      <w:r>
        <w:rPr>
          <w:rFonts w:eastAsia="Times New Roman" w:ascii="Times New Roman" w:hAnsi="Times New Roman"/>
          <w:szCs w:val="20"/>
        </w:rPr>
        <w:tab/>
      </w:r>
      <w:r>
        <w:rPr>
          <w:rFonts w:eastAsia="Times New Roman" w:ascii="Times New Roman" w:hAnsi="Times New Roman"/>
          <w:szCs w:val="20"/>
        </w:rPr>
        <w:t>2.1. sklypo suformavimas įsiterpusiam valstybiniam žemės plotui;</w:t>
      </w:r>
    </w:p>
    <w:p>
      <w:pPr>
        <w:pStyle w:val="Normal"/>
        <w:tabs>
          <w:tab w:val="clear" w:pos="720"/>
          <w:tab w:val="left" w:pos="1122" w:leader="none"/>
        </w:tabs>
        <w:jc w:val="both"/>
        <w:rPr>
          <w:rFonts w:ascii="Times New Roman" w:hAnsi="Times New Roman" w:eastAsia="Times New Roman"/>
          <w:szCs w:val="20"/>
        </w:rPr>
      </w:pPr>
      <w:r>
        <w:rPr>
          <w:rFonts w:eastAsia="Times New Roman" w:ascii="Times New Roman" w:hAnsi="Times New Roman"/>
          <w:szCs w:val="20"/>
        </w:rPr>
        <w:tab/>
        <w:t xml:space="preserve">2.2. naujai suformuoto žemės sklypo padalijimas </w:t>
      </w:r>
      <w:r>
        <w:rPr>
          <w:rFonts w:eastAsia="Times New Roman" w:ascii="Times New Roman" w:hAnsi="Times New Roman"/>
          <w:szCs w:val="20"/>
        </w:rPr>
        <w:t xml:space="preserve">ir sujungimas </w:t>
      </w:r>
      <w:r>
        <w:rPr>
          <w:rFonts w:eastAsia="Times New Roman" w:ascii="Times New Roman" w:hAnsi="Times New Roman"/>
          <w:szCs w:val="20"/>
        </w:rPr>
        <w:t>su besiribojanči</w:t>
      </w:r>
      <w:r>
        <w:rPr>
          <w:rFonts w:eastAsia="Times New Roman" w:ascii="Times New Roman" w:hAnsi="Times New Roman"/>
          <w:szCs w:val="20"/>
        </w:rPr>
        <w:t>ais</w:t>
      </w:r>
      <w:r>
        <w:rPr>
          <w:rFonts w:eastAsia="Times New Roman" w:ascii="Times New Roman" w:hAnsi="Times New Roman"/>
          <w:szCs w:val="20"/>
        </w:rPr>
        <w:t xml:space="preserve"> žemės sklyp</w:t>
      </w:r>
      <w:r>
        <w:rPr>
          <w:rFonts w:eastAsia="Times New Roman" w:ascii="Times New Roman" w:hAnsi="Times New Roman"/>
          <w:szCs w:val="20"/>
        </w:rPr>
        <w:t>ais</w:t>
      </w:r>
      <w:r>
        <w:rPr>
          <w:rFonts w:eastAsia="Times New Roman" w:ascii="Times New Roman" w:hAnsi="Times New Roman"/>
          <w:szCs w:val="20"/>
        </w:rPr>
        <w:t>.</w:t>
      </w:r>
    </w:p>
    <w:p>
      <w:pPr>
        <w:pStyle w:val="Normal"/>
        <w:tabs>
          <w:tab w:val="clear" w:pos="720"/>
          <w:tab w:val="left" w:pos="1122" w:leader="none"/>
        </w:tabs>
        <w:jc w:val="both"/>
        <w:rPr>
          <w:rFonts w:ascii="Times New Roman" w:hAnsi="Times New Roman" w:eastAsia="Times New Roman"/>
          <w:szCs w:val="20"/>
        </w:rPr>
      </w:pPr>
      <w:r>
        <w:rPr>
          <w:rFonts w:eastAsia="Times New Roman" w:ascii="Times New Roman" w:hAnsi="Times New Roman"/>
          <w:szCs w:val="20"/>
        </w:rPr>
        <w:tab/>
        <w:t>2.3. žemės sklypų tvarkymo ir naudojimo reglamentų nustatymas, vadovaujantis galiojančių teisės aktų reikalavimais ir Šiaulių miesto bendrojo plano sprendiniais.</w:t>
      </w:r>
    </w:p>
    <w:p>
      <w:pPr>
        <w:pStyle w:val="Normal"/>
        <w:tabs>
          <w:tab w:val="clear" w:pos="720"/>
          <w:tab w:val="left" w:pos="1122" w:leader="none"/>
        </w:tabs>
        <w:jc w:val="both"/>
        <w:rPr>
          <w:rFonts w:ascii="Times New Roman" w:hAnsi="Times New Roman" w:eastAsia="Times New Roman"/>
          <w:szCs w:val="20"/>
        </w:rPr>
      </w:pPr>
      <w:r>
        <w:rPr>
          <w:rFonts w:eastAsia="Times New Roman" w:ascii="Times New Roman" w:hAnsi="Times New Roman"/>
          <w:szCs w:val="20"/>
        </w:rPr>
        <w:tab/>
        <w:t>3. Į p a r e i g o j u Architektūros, urbanistikos ir paveldosaugos skyrių parengti Teritorijų planavimo proceso inicijavimo sutarties projektą.</w:t>
      </w:r>
    </w:p>
    <w:p>
      <w:pPr>
        <w:pStyle w:val="Normal"/>
        <w:tabs>
          <w:tab w:val="clear" w:pos="720"/>
          <w:tab w:val="left" w:pos="1131" w:leader="none"/>
        </w:tabs>
        <w:jc w:val="both"/>
        <w:rPr>
          <w:rFonts w:ascii="Times New Roman" w:hAnsi="Times New Roman" w:eastAsia="Times New Roman"/>
          <w:szCs w:val="20"/>
        </w:rPr>
      </w:pPr>
      <w:r>
        <w:rPr>
          <w:rFonts w:eastAsia="Times New Roman" w:ascii="Times New Roman" w:hAnsi="Times New Roman"/>
          <w:szCs w:val="20"/>
        </w:rPr>
        <w:tab/>
        <w:t>Š</w:t>
      </w:r>
      <w:r>
        <w:rPr>
          <w:shd w:fill="FFFFFF" w:val="clear"/>
        </w:rPr>
        <w:t>is įsakymas ne vėliau kaip per vieną mėnesį nuo jo įteikimo dienos gali būti skundžiamas paduodant skundą Lietuvos administracinių ginčų komisijos Šiaulių apygardos skyriui adresu Dvaro g. 81, Šiauliai, arba Regionų apygardos administraciniam teismui bet kuriuose šio teismo rūmuose.</w:t>
      </w:r>
    </w:p>
    <w:p>
      <w:pPr>
        <w:pStyle w:val="Normal"/>
        <w:tabs>
          <w:tab w:val="clear" w:pos="720"/>
          <w:tab w:val="left" w:pos="1122" w:leader="none"/>
        </w:tabs>
        <w:jc w:val="both"/>
        <w:rPr>
          <w:rFonts w:ascii="Times New Roman" w:hAnsi="Times New Roman" w:eastAsia="Times New Roman"/>
          <w:szCs w:val="20"/>
        </w:rPr>
      </w:pPr>
      <w:r>
        <w:rPr>
          <w:rFonts w:eastAsia="Times New Roman" w:ascii="Times New Roman" w:hAnsi="Times New Roman"/>
          <w:szCs w:val="20"/>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tabs>
          <w:tab w:val="clear" w:pos="720"/>
          <w:tab w:val="left" w:pos="555" w:leader="none"/>
        </w:tabs>
        <w:jc w:val="both"/>
        <w:rPr/>
      </w:pPr>
      <w:r>
        <w:rPr>
          <w:rFonts w:ascii="Times New Roman" w:hAnsi="Times New Roman"/>
        </w:rPr>
        <w:t>Administracijos direktorius</w:t>
        <w:tab/>
        <w:tab/>
        <w:tab/>
        <w:tab/>
        <w:tab/>
        <w:tab/>
        <w:tab/>
        <w:tab/>
        <w:t xml:space="preserve"> Antanas Bartulis</w:t>
      </w:r>
    </w:p>
    <w:sectPr>
      <w:type w:val="nextPage"/>
      <w:pgSz w:w="11906" w:h="16838"/>
      <w:pgMar w:left="1701" w:right="567"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horndale">
    <w:altName w:val="Times New Roman"/>
    <w:charset w:val="ba"/>
    <w:family w:val="roman"/>
    <w:pitch w:val="variable"/>
  </w:font>
  <w:font w:name="StarSymbol">
    <w:altName w:val="Arial Unicode MS"/>
    <w:charset w:val="ba"/>
    <w:family w:val="roman"/>
    <w:pitch w:val="variable"/>
  </w:font>
  <w:font w:name="Tahoma">
    <w:charset w:val="ba"/>
    <w:family w:val="roman"/>
    <w:pitch w:val="variable"/>
  </w:font>
  <w:font w:name="Segoe UI">
    <w:charset w:val="ba"/>
    <w:family w:val="roman"/>
    <w:pitch w:val="variable"/>
  </w:font>
  <w:font w:name="Liberation Sans">
    <w:altName w:val="Arial"/>
    <w:charset w:val="ba"/>
    <w:family w:val="roman"/>
    <w:pitch w:val="variable"/>
  </w:font>
  <w:font w:name="Arial">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Thorndale" w:hAnsi="Thorndale" w:eastAsia="HG Mincho Light J" w:cs="Times New Roman"/>
      <w:color w:val="000000"/>
      <w:kern w:val="0"/>
      <w:sz w:val="24"/>
      <w:szCs w:val="24"/>
      <w:lang w:val="lt-LT" w:eastAsia="ar-SA" w:bidi="ar-SA"/>
    </w:rPr>
  </w:style>
  <w:style w:type="paragraph" w:styleId="Heading1">
    <w:name w:val="Heading 1"/>
    <w:basedOn w:val="Normal"/>
    <w:next w:val="Normal"/>
    <w:qFormat/>
    <w:pPr>
      <w:keepNext w:val="true"/>
      <w:numPr>
        <w:ilvl w:val="0"/>
        <w:numId w:val="1"/>
      </w:numPr>
      <w:jc w:val="center"/>
      <w:outlineLvl w:val="0"/>
    </w:pPr>
    <w:rPr>
      <w:b/>
    </w:rPr>
  </w:style>
  <w:style w:type="paragraph" w:styleId="Heading2">
    <w:name w:val="Heading 2"/>
    <w:basedOn w:val="Normal"/>
    <w:next w:val="Normal"/>
    <w:qFormat/>
    <w:pPr>
      <w:keepNext w:val="true"/>
      <w:numPr>
        <w:ilvl w:val="1"/>
        <w:numId w:val="1"/>
      </w:numPr>
      <w:jc w:val="right"/>
      <w:outlineLvl w:val="1"/>
    </w:pPr>
    <w:rPr>
      <w:b/>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Numatytasispastraiposriftas1" w:customStyle="1">
    <w:name w:val="Numatytasis pastraipos šriftas1"/>
    <w:qFormat/>
    <w:rPr/>
  </w:style>
  <w:style w:type="character" w:styleId="Inaosramenys" w:customStyle="1">
    <w:name w:val="Išnašos rašmenys"/>
    <w:qFormat/>
    <w:rPr/>
  </w:style>
  <w:style w:type="character" w:styleId="Numeravimosimboliai" w:customStyle="1">
    <w:name w:val="Numeravimo simboliai"/>
    <w:qFormat/>
    <w:rPr/>
  </w:style>
  <w:style w:type="character" w:styleId="Enkleliai" w:customStyle="1">
    <w:name w:val="Ženkleliai"/>
    <w:qFormat/>
    <w:rPr>
      <w:rFonts w:ascii="StarSymbol" w:hAnsi="StarSymbol" w:eastAsia="StarSymbol" w:cs="StarSymbol"/>
      <w:sz w:val="18"/>
      <w:szCs w:val="18"/>
    </w:rPr>
  </w:style>
  <w:style w:type="character" w:styleId="Galinsinaosramenys" w:customStyle="1">
    <w:name w:val="Galinės išnašos rašmenys"/>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Numeravimosimboliai" w:customStyle="1">
    <w:name w:val="WW-Numeravimo simboliai"/>
    <w:qFormat/>
    <w:rPr/>
  </w:style>
  <w:style w:type="character" w:styleId="WWNumeravimosimboliai1" w:customStyle="1">
    <w:name w:val="WW-Numeravimo simboliai1"/>
    <w:qFormat/>
    <w:rPr/>
  </w:style>
  <w:style w:type="character" w:styleId="WWNumeravimosimboliai11" w:customStyle="1">
    <w:name w:val="WW-Numeravimo simboliai11"/>
    <w:qFormat/>
    <w:rPr/>
  </w:style>
  <w:style w:type="character" w:styleId="WWNumeravimosimboliai111" w:customStyle="1">
    <w:name w:val="WW-Numeravimo simboliai111"/>
    <w:qFormat/>
    <w:rPr/>
  </w:style>
  <w:style w:type="character" w:styleId="WWNumeravimosimboliai1111" w:customStyle="1">
    <w:name w:val="WW-Numeravimo simboliai1111"/>
    <w:qFormat/>
    <w:rPr/>
  </w:style>
  <w:style w:type="character" w:styleId="WWNumeravimosimboliai11111" w:customStyle="1">
    <w:name w:val="WW-Numeravimo simboliai11111"/>
    <w:qFormat/>
    <w:rPr/>
  </w:style>
  <w:style w:type="character" w:styleId="WWNumeravimosimboliai111111" w:customStyle="1">
    <w:name w:val="WW-Numeravimo simboliai111111"/>
    <w:qFormat/>
    <w:rPr/>
  </w:style>
  <w:style w:type="character" w:styleId="WWNumeravimosimboliai1111111" w:customStyle="1">
    <w:name w:val="WW-Numeravimo simboliai1111111"/>
    <w:qFormat/>
    <w:rPr/>
  </w:style>
  <w:style w:type="character" w:styleId="WWNumeravimosimboliai11111111" w:customStyle="1">
    <w:name w:val="WW-Numeravimo simboliai11111111"/>
    <w:qFormat/>
    <w:rPr/>
  </w:style>
  <w:style w:type="character" w:styleId="WWNumeravimosimboliai111111111" w:customStyle="1">
    <w:name w:val="WW-Numeravimo simboliai111111111"/>
    <w:qFormat/>
    <w:rPr/>
  </w:style>
  <w:style w:type="character" w:styleId="WWNumeravimosimboliai1111111111" w:customStyle="1">
    <w:name w:val="WW-Numeravimo simboliai1111111111"/>
    <w:qFormat/>
    <w:rPr/>
  </w:style>
  <w:style w:type="character" w:styleId="WWNumeravimosimboliai11111111111" w:customStyle="1">
    <w:name w:val="WW-Numeravimo simboliai11111111111"/>
    <w:qFormat/>
    <w:rPr/>
  </w:style>
  <w:style w:type="character" w:styleId="WWenklinimosimboliai" w:customStyle="1">
    <w:name w:val="WW-Ženklinimo simboliai"/>
    <w:qFormat/>
    <w:rPr>
      <w:rFonts w:ascii="StarSymbol" w:hAnsi="StarSymbol" w:eastAsia="StarSymbol" w:cs="StarSymbol"/>
      <w:sz w:val="18"/>
    </w:rPr>
  </w:style>
  <w:style w:type="character" w:styleId="WWenklinimosimboliai1" w:customStyle="1">
    <w:name w:val="WW-Ženklinimo simboliai1"/>
    <w:qFormat/>
    <w:rPr>
      <w:rFonts w:ascii="StarSymbol" w:hAnsi="StarSymbol" w:eastAsia="StarSymbol" w:cs="StarSymbol"/>
      <w:sz w:val="18"/>
    </w:rPr>
  </w:style>
  <w:style w:type="character" w:styleId="WWenklinimosimboliai11" w:customStyle="1">
    <w:name w:val="WW-Ženklinimo simboliai11"/>
    <w:qFormat/>
    <w:rPr>
      <w:rFonts w:ascii="StarSymbol" w:hAnsi="StarSymbol" w:eastAsia="StarSymbol" w:cs="StarSymbol"/>
      <w:sz w:val="18"/>
    </w:rPr>
  </w:style>
  <w:style w:type="character" w:styleId="WWenklinimosimboliai111" w:customStyle="1">
    <w:name w:val="WW-Ženklinimo simboliai111"/>
    <w:qFormat/>
    <w:rPr>
      <w:rFonts w:ascii="StarSymbol" w:hAnsi="StarSymbol" w:eastAsia="StarSymbol" w:cs="StarSymbol"/>
      <w:sz w:val="18"/>
    </w:rPr>
  </w:style>
  <w:style w:type="character" w:styleId="WWenklinimosimboliai1111" w:customStyle="1">
    <w:name w:val="WW-Ženklinimo simboliai1111"/>
    <w:qFormat/>
    <w:rPr>
      <w:rFonts w:ascii="StarSymbol" w:hAnsi="StarSymbol" w:eastAsia="StarSymbol" w:cs="StarSymbol"/>
      <w:sz w:val="18"/>
    </w:rPr>
  </w:style>
  <w:style w:type="character" w:styleId="WWenklinimosimboliai11111" w:customStyle="1">
    <w:name w:val="WW-Ženklinimo simboliai11111"/>
    <w:qFormat/>
    <w:rPr>
      <w:rFonts w:ascii="StarSymbol" w:hAnsi="StarSymbol" w:eastAsia="StarSymbol" w:cs="StarSymbol"/>
      <w:sz w:val="18"/>
    </w:rPr>
  </w:style>
  <w:style w:type="character" w:styleId="WWenklinimosimboliai111111" w:customStyle="1">
    <w:name w:val="WW-Ženklinimo simboliai111111"/>
    <w:qFormat/>
    <w:rPr>
      <w:rFonts w:ascii="StarSymbol" w:hAnsi="StarSymbol" w:eastAsia="StarSymbol" w:cs="StarSymbol"/>
      <w:sz w:val="18"/>
    </w:rPr>
  </w:style>
  <w:style w:type="character" w:styleId="WWenklinimosimboliai1111111" w:customStyle="1">
    <w:name w:val="WW-Ženklinimo simboliai1111111"/>
    <w:qFormat/>
    <w:rPr>
      <w:rFonts w:ascii="StarSymbol" w:hAnsi="StarSymbol" w:eastAsia="StarSymbol" w:cs="StarSymbol"/>
      <w:sz w:val="18"/>
    </w:rPr>
  </w:style>
  <w:style w:type="character" w:styleId="WWenklinimosimboliai11111111" w:customStyle="1">
    <w:name w:val="WW-Ženklinimo simboliai11111111"/>
    <w:qFormat/>
    <w:rPr>
      <w:rFonts w:ascii="StarSymbol" w:hAnsi="StarSymbol" w:eastAsia="StarSymbol" w:cs="StarSymbol"/>
      <w:sz w:val="18"/>
    </w:rPr>
  </w:style>
  <w:style w:type="character" w:styleId="WWenklinimosimboliai111111111" w:customStyle="1">
    <w:name w:val="WW-Ženklinimo simboliai111111111"/>
    <w:qFormat/>
    <w:rPr>
      <w:rFonts w:ascii="StarSymbol" w:hAnsi="StarSymbol" w:eastAsia="StarSymbol" w:cs="StarSymbol"/>
      <w:sz w:val="18"/>
    </w:rPr>
  </w:style>
  <w:style w:type="character" w:styleId="WWenklinimosimboliai1111111111" w:customStyle="1">
    <w:name w:val="WW-Ženklinimo simboliai1111111111"/>
    <w:qFormat/>
    <w:rPr>
      <w:rFonts w:ascii="StarSymbol" w:hAnsi="StarSymbol" w:eastAsia="StarSymbol" w:cs="StarSymbol"/>
      <w:sz w:val="18"/>
    </w:rPr>
  </w:style>
  <w:style w:type="character" w:styleId="WWenklinimosimboliai11111111111" w:customStyle="1">
    <w:name w:val="WW-Ženklinimo simboliai11111111111"/>
    <w:qFormat/>
    <w:rPr>
      <w:rFonts w:ascii="StarSymbol" w:hAnsi="StarSymbol" w:eastAsia="StarSymbol" w:cs="StarSymbol"/>
      <w:sz w:val="18"/>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BalloonTextChar" w:customStyle="1">
    <w:name w:val="Balloon Text Char"/>
    <w:qFormat/>
    <w:rPr>
      <w:rFonts w:ascii="Tahoma" w:hAnsi="Tahoma" w:eastAsia="HG Mincho Light J" w:cs="Tahoma"/>
      <w:color w:val="000000"/>
      <w:sz w:val="16"/>
      <w:szCs w:val="16"/>
      <w:lang w:val="lt-LT"/>
    </w:rPr>
  </w:style>
  <w:style w:type="character" w:styleId="Emphasis">
    <w:name w:val="Emphasis"/>
    <w:qFormat/>
    <w:rPr>
      <w:i/>
      <w:iCs/>
    </w:rPr>
  </w:style>
  <w:style w:type="character" w:styleId="DebesliotekstasDiagrama" w:customStyle="1">
    <w:name w:val="Debesėlio tekstas Diagrama"/>
    <w:basedOn w:val="DefaultParagraphFont"/>
    <w:link w:val="Debesliotekstas"/>
    <w:uiPriority w:val="99"/>
    <w:semiHidden/>
    <w:qFormat/>
    <w:rsid w:val="00416ccc"/>
    <w:rPr>
      <w:rFonts w:ascii="Segoe UI" w:hAnsi="Segoe UI" w:eastAsia="HG Mincho Light J" w:cs="Segoe UI"/>
      <w:color w:val="000000"/>
      <w:sz w:val="18"/>
      <w:szCs w:val="18"/>
      <w:lang w:eastAsia="ar-SA"/>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style>
  <w:style w:type="paragraph" w:styleId="List">
    <w:name w:val="List"/>
    <w:basedOn w:val="Tekstas"/>
    <w:pPr/>
    <w:rPr>
      <w:rFonts w:ascii="Times New Roman" w:hAnsi="Times New Roman"/>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trat3" w:customStyle="1">
    <w:name w:val="Antraštė3"/>
    <w:basedOn w:val="Normal"/>
    <w:next w:val="TextBody"/>
    <w:qFormat/>
    <w:pPr>
      <w:keepNext w:val="true"/>
      <w:spacing w:before="240" w:after="120"/>
    </w:pPr>
    <w:rPr>
      <w:rFonts w:ascii="Arial" w:hAnsi="Arial" w:eastAsia="Lucida Sans Unicode" w:cs="Tahoma"/>
      <w:sz w:val="28"/>
      <w:szCs w:val="28"/>
    </w:rPr>
  </w:style>
  <w:style w:type="paragraph" w:styleId="Pavadinimas1" w:customStyle="1">
    <w:name w:val="Pavadinimas1"/>
    <w:basedOn w:val="Normal"/>
    <w:qFormat/>
    <w:pPr>
      <w:suppressLineNumbers/>
      <w:spacing w:before="120" w:after="120"/>
    </w:pPr>
    <w:rPr>
      <w:rFonts w:cs="Tahoma"/>
      <w:i/>
      <w:iCs/>
    </w:rPr>
  </w:style>
  <w:style w:type="paragraph" w:styleId="Rodykl" w:customStyle="1">
    <w:name w:val="Rodyklė"/>
    <w:basedOn w:val="Normal"/>
    <w:qFormat/>
    <w:pPr>
      <w:suppressLineNumbers/>
    </w:pPr>
    <w:rPr>
      <w:rFonts w:ascii="Times New Roman" w:hAnsi="Times New Roman"/>
    </w:rPr>
  </w:style>
  <w:style w:type="paragraph" w:styleId="Tekstas" w:customStyle="1">
    <w:name w:val="Tekstas"/>
    <w:basedOn w:val="Normal"/>
    <w:qFormat/>
    <w:pPr>
      <w:tabs>
        <w:tab w:val="clear" w:pos="720"/>
        <w:tab w:val="center" w:pos="5049" w:leader="none"/>
      </w:tabs>
      <w:jc w:val="both"/>
    </w:pPr>
    <w:rPr/>
  </w:style>
  <w:style w:type="paragraph" w:styleId="Antrat2" w:customStyle="1">
    <w:name w:val="Antraštė2"/>
    <w:basedOn w:val="Normal"/>
    <w:next w:val="Tekstas"/>
    <w:qFormat/>
    <w:pPr>
      <w:suppressLineNumbers/>
      <w:spacing w:before="120" w:after="120"/>
    </w:pPr>
    <w:rPr>
      <w:rFonts w:ascii="Times New Roman" w:hAnsi="Times New Roman"/>
      <w:i/>
      <w:sz w:val="20"/>
    </w:rPr>
  </w:style>
  <w:style w:type="paragraph" w:styleId="Antrat1" w:customStyle="1">
    <w:name w:val="Antraštė1"/>
    <w:basedOn w:val="Normal"/>
    <w:next w:val="TextBody"/>
    <w:qFormat/>
    <w:pPr>
      <w:keepNext w:val="true"/>
      <w:spacing w:before="240" w:after="120"/>
    </w:pPr>
    <w:rPr>
      <w:rFonts w:ascii="Arial" w:hAnsi="Arial" w:eastAsia="Arial Unicode MS" w:cs="Tahoma"/>
      <w:sz w:val="28"/>
      <w:szCs w:val="28"/>
    </w:rPr>
  </w:style>
  <w:style w:type="paragraph" w:styleId="Kadroturinys" w:customStyle="1">
    <w:name w:val="Kadro turinys"/>
    <w:basedOn w:val="Tekstas"/>
    <w:qFormat/>
    <w:pPr/>
    <w:rPr/>
  </w:style>
  <w:style w:type="paragraph" w:styleId="Subtitle">
    <w:name w:val="Subtitle"/>
    <w:basedOn w:val="Antrat2"/>
    <w:next w:val="TextBody"/>
    <w:qFormat/>
    <w:pPr>
      <w:jc w:val="center"/>
    </w:pPr>
    <w:rPr>
      <w:iCs/>
      <w:sz w:val="28"/>
      <w:szCs w:val="28"/>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5385" w:leader="none"/>
        <w:tab w:val="right" w:pos="10771" w:leader="none"/>
      </w:tabs>
    </w:pPr>
    <w:rPr/>
  </w:style>
  <w:style w:type="paragraph" w:styleId="Header">
    <w:name w:val="Header"/>
    <w:basedOn w:val="Normal"/>
    <w:pPr>
      <w:tabs>
        <w:tab w:val="clear" w:pos="720"/>
        <w:tab w:val="center" w:pos="4320" w:leader="none"/>
        <w:tab w:val="right" w:pos="8640" w:leader="none"/>
      </w:tabs>
    </w:pPr>
    <w:rPr/>
  </w:style>
  <w:style w:type="paragraph" w:styleId="TextBodyIndent">
    <w:name w:val="Body Text Indent"/>
    <w:basedOn w:val="Normal"/>
    <w:pPr>
      <w:widowControl/>
      <w:suppressAutoHyphens w:val="false"/>
      <w:ind w:firstLine="720"/>
      <w:jc w:val="both"/>
    </w:pPr>
    <w:rPr>
      <w:rFonts w:ascii="Times New Roman" w:hAnsi="Times New Roman" w:eastAsia="Times New Roman"/>
      <w:color w:val="auto"/>
    </w:rPr>
  </w:style>
  <w:style w:type="paragraph" w:styleId="Debesliotekstas1" w:customStyle="1">
    <w:name w:val="Debesėlio tekstas1"/>
    <w:basedOn w:val="Normal"/>
    <w:qFormat/>
    <w:pPr/>
    <w:rPr>
      <w:rFonts w:ascii="Tahoma" w:hAnsi="Tahoma" w:cs="Tahoma"/>
      <w:sz w:val="16"/>
      <w:szCs w:val="16"/>
    </w:rPr>
  </w:style>
  <w:style w:type="paragraph" w:styleId="Lentelsturinys" w:customStyle="1">
    <w:name w:val="Lentelės turinys"/>
    <w:basedOn w:val="Normal"/>
    <w:qFormat/>
    <w:pPr>
      <w:suppressLineNumbers/>
    </w:pPr>
    <w:rPr/>
  </w:style>
  <w:style w:type="paragraph" w:styleId="Lentelsantrat" w:customStyle="1">
    <w:name w:val="Lentelės antraštė"/>
    <w:basedOn w:val="Lentelsturinys"/>
    <w:qFormat/>
    <w:pPr>
      <w:jc w:val="center"/>
    </w:pPr>
    <w:rPr>
      <w:b/>
      <w:bCs/>
    </w:rPr>
  </w:style>
  <w:style w:type="paragraph" w:styleId="Betarp1" w:customStyle="1">
    <w:name w:val="Be tarpų1"/>
    <w:qFormat/>
    <w:pPr>
      <w:widowControl w:val="false"/>
      <w:suppressAutoHyphens w:val="true"/>
      <w:bidi w:val="0"/>
      <w:spacing w:before="0" w:after="0"/>
      <w:jc w:val="left"/>
    </w:pPr>
    <w:rPr>
      <w:rFonts w:ascii="Thorndale" w:hAnsi="Thorndale" w:eastAsia="HG Mincho Light J" w:cs="Times New Roman"/>
      <w:color w:val="000000"/>
      <w:kern w:val="0"/>
      <w:sz w:val="24"/>
      <w:szCs w:val="24"/>
      <w:lang w:val="lt-LT" w:eastAsia="ar-SA" w:bidi="ar-SA"/>
    </w:rPr>
  </w:style>
  <w:style w:type="paragraph" w:styleId="BalloonText">
    <w:name w:val="Balloon Text"/>
    <w:basedOn w:val="Normal"/>
    <w:link w:val="DebesliotekstasDiagrama"/>
    <w:uiPriority w:val="99"/>
    <w:semiHidden/>
    <w:unhideWhenUsed/>
    <w:qFormat/>
    <w:rsid w:val="00416ccc"/>
    <w:pPr/>
    <w:rPr>
      <w:rFonts w:ascii="Segoe UI" w:hAnsi="Segoe UI" w:cs="Segoe UI"/>
      <w:sz w:val="18"/>
      <w:szCs w:val="18"/>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Application>LibreOffice/6.4.1.2$Windows_X86_64 LibreOffice_project/4d224e95b98b138af42a64d84056446d09082932</Application>
  <Pages>1</Pages>
  <Words>259</Words>
  <Characters>1642</Characters>
  <CharactersWithSpaces>1906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2022-08-30T12:27:00Z</dcterms:created>
  <dc:creator>V.Valančienė</dc:creator>
  <dc:description/>
  <dc:language>lt-LT</dc:language>
  <cp:lastModifiedBy/>
  <cp:lastPrinted>2017-09-06T07:16:00Z</cp:lastPrinted>
  <dcterms:modified xsi:type="dcterms:W3CDTF">2022-09-26T15:56:10Z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